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hint="eastAsia" w:ascii="楷体" w:hAnsi="楷体" w:eastAsia="楷体" w:cs="楷体"/>
          <w:b/>
          <w:sz w:val="44"/>
          <w:szCs w:val="44"/>
          <w:lang w:eastAsia="zh-CN"/>
        </w:rPr>
        <w:sectPr>
          <w:pgSz w:w="11906" w:h="16838"/>
          <w:pgMar w:top="2098" w:right="1474" w:bottom="1985" w:left="1588" w:header="851" w:footer="992" w:gutter="0"/>
          <w:cols w:space="425" w:num="1"/>
          <w:docGrid w:type="lines" w:linePitch="312" w:charSpace="0"/>
        </w:sectPr>
      </w:pPr>
      <w:r>
        <w:rPr>
          <w:rFonts w:hint="eastAsia" w:eastAsia="楷体"/>
          <w:b/>
          <w:sz w:val="44"/>
          <w:szCs w:val="44"/>
          <w:lang w:eastAsia="zh-CN"/>
        </w:rPr>
        <w:t>大厂回族自治县统计局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黑体"/>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大厂回族自治县统计局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(一)组织领导和协调全县统计工作，确保统计数据真实、准确、完整、及时。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(二)拟订统计工作方面的地方性</w:t>
      </w:r>
      <w:r>
        <w:rPr>
          <w:rFonts w:hint="eastAsia" w:ascii="仿宋_GB2312" w:hAnsi="仿宋_GB2312" w:eastAsia="仿宋_GB2312" w:cs="仿宋_GB2312"/>
          <w:sz w:val="32"/>
          <w:szCs w:val="32"/>
        </w:rPr>
        <w:t>管理办法和统计改革方案</w:t>
      </w:r>
      <w:r>
        <w:rPr>
          <w:rFonts w:hint="eastAsia" w:ascii="仿宋_GB2312" w:hAnsi="仿宋_GB2312" w:eastAsia="仿宋_GB2312" w:cs="仿宋_GB2312"/>
          <w:color w:val="000000"/>
          <w:sz w:val="32"/>
          <w:szCs w:val="32"/>
        </w:rPr>
        <w:t>，制定全县统计改革、统计建设规划、统计调查计划和统计调查制度，贯彻执行监督检查统计法律、法规实施情况，指导全县统计工作。</w:t>
      </w:r>
      <w:r>
        <w:rPr>
          <w:rFonts w:hint="eastAsia" w:ascii="仿宋_GB2312" w:hAnsi="仿宋_GB2312" w:eastAsia="仿宋_GB2312" w:cs="仿宋_GB2312"/>
          <w:sz w:val="32"/>
          <w:szCs w:val="32"/>
        </w:rPr>
        <w:t>组织实施统计执法监督检查和“双随机”抽查，依法查处统计违法案件，预防和查处统计造假、弄虚作假。</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(三)贯彻执行国家和省、市国民经济核算制度，组织实施全县国民经济核算、资产负债核算和投入产出调查，整理、测算和提供国民经济核算资料，监督管理全县国民经济核算工作。                                           </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(四)组织完成国家和省、市部署的人口、经济、农业等重大普查调查，汇总、整理和提供有关县情县力方面的统计数据。</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sz w:val="32"/>
          <w:szCs w:val="32"/>
        </w:rPr>
        <w:t>组织实施全县农林牧渔业、工业、建筑业、批发和零售业、住宿和餐饮业、房地产、服务业及能源、投资、消费、人口和城镇化率、劳动工资、就业、社会、科技、文化产业、县镇村三级社会经济基本情况、资源环境、战略性新兴产业、高新技术产业、民营经济、全面建成小康社会统计监测、社情民意调查等统计调查，收集、汇总、整理和提供统计数据。</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sz w:val="32"/>
          <w:szCs w:val="32"/>
        </w:rPr>
        <w:t>组织实施县域经济发展、农业产业化、特色小镇、节能降耗、绿色发展、企业景气、妇女儿童监测、新产业新业态新商业模式（以下简称新经济）、高质量发展、京津部分区（县）等统计监测，收集、整理和提供统计数据。</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sz w:val="32"/>
          <w:szCs w:val="32"/>
        </w:rPr>
        <w:t xml:space="preserve"> 综合整理和提供财政、金融、旅游、交通运输、邮政、地质勘查、教育、体育、卫生、社会保障、公用事业、</w:t>
      </w:r>
      <w:r>
        <w:rPr>
          <w:rFonts w:hint="eastAsia" w:ascii="仿宋_GB2312" w:hAnsi="仿宋_GB2312" w:eastAsia="仿宋_GB2312" w:cs="仿宋_GB2312"/>
          <w:bCs/>
          <w:sz w:val="32"/>
          <w:szCs w:val="32"/>
        </w:rPr>
        <w:t>对外经济、</w:t>
      </w:r>
      <w:r>
        <w:rPr>
          <w:rFonts w:hint="eastAsia" w:ascii="仿宋_GB2312" w:hAnsi="仿宋_GB2312" w:eastAsia="仿宋_GB2312" w:cs="仿宋_GB2312"/>
          <w:sz w:val="32"/>
          <w:szCs w:val="32"/>
        </w:rPr>
        <w:t>收入、价格等基本统计数据。</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(八)组织全县各部门的经济、社会、科技统计调查，统一核定、管理、公布全县性基本统计资料，定期发布全县国民经济和社会发展情况的统计信息。组织建立统计信息共享制度和发布制度。</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(九)对国民经济、社会发展、科技进步</w:t>
      </w:r>
      <w:r>
        <w:rPr>
          <w:rFonts w:hint="eastAsia" w:ascii="仿宋_GB2312" w:hAnsi="仿宋_GB2312" w:eastAsia="仿宋_GB2312" w:cs="仿宋_GB2312"/>
          <w:sz w:val="32"/>
          <w:szCs w:val="32"/>
        </w:rPr>
        <w:t>和资源环境</w:t>
      </w:r>
      <w:r>
        <w:rPr>
          <w:rFonts w:hint="eastAsia" w:ascii="仿宋_GB2312" w:hAnsi="仿宋_GB2312" w:eastAsia="仿宋_GB2312" w:cs="仿宋_GB2312"/>
          <w:color w:val="000000"/>
          <w:sz w:val="32"/>
          <w:szCs w:val="32"/>
        </w:rPr>
        <w:t>等情况进行统计分析、统计预测和统计监督，向县委、县政府及有关部门提供统计信息和咨询建议。</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sz w:val="32"/>
          <w:szCs w:val="32"/>
        </w:rPr>
        <w:t xml:space="preserve"> 依法依规管理县级政府部门统计调查项目。</w:t>
      </w:r>
      <w:r>
        <w:rPr>
          <w:rFonts w:hint="eastAsia" w:ascii="仿宋_GB2312" w:hAnsi="仿宋_GB2312" w:eastAsia="仿宋_GB2312" w:cs="仿宋_GB2312"/>
          <w:color w:val="000000"/>
          <w:sz w:val="32"/>
          <w:szCs w:val="32"/>
        </w:rPr>
        <w:t>指导专业统计基础工作、统计基层业务和规范化建设。组织建立统计信息管理制度，建立健全统计数据质量审核、监控和评估制度，</w:t>
      </w:r>
      <w:r>
        <w:rPr>
          <w:rFonts w:hint="eastAsia" w:ascii="仿宋_GB2312" w:hAnsi="仿宋_GB2312" w:eastAsia="仿宋_GB2312" w:cs="仿宋_GB2312"/>
          <w:sz w:val="32"/>
          <w:szCs w:val="32"/>
        </w:rPr>
        <w:t>开展对统计数据质量的检查和评估。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(十一)加强基层统计人员培训，指导全县统计专业技术队伍建设。指导所属事业单位</w:t>
      </w:r>
      <w:r>
        <w:rPr>
          <w:rFonts w:hint="eastAsia" w:ascii="仿宋_GB2312" w:hAnsi="仿宋_GB2312" w:eastAsia="仿宋_GB2312" w:cs="仿宋_GB2312"/>
          <w:sz w:val="32"/>
          <w:szCs w:val="32"/>
        </w:rPr>
        <w:t>组织实施名录库建设、资料管理等工作。</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w:t>
      </w:r>
      <w:r>
        <w:rPr>
          <w:rFonts w:hint="eastAsia" w:ascii="仿宋_GB2312" w:hAnsi="仿宋_GB2312" w:eastAsia="仿宋_GB2312" w:cs="仿宋_GB2312"/>
          <w:sz w:val="32"/>
          <w:szCs w:val="32"/>
        </w:rPr>
        <w:t>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spacing w:line="560" w:lineRule="exact"/>
        <w:ind w:firstLine="640" w:firstLineChars="200"/>
        <w:rPr>
          <w:rFonts w:hint="eastAsia" w:ascii="仿宋_GB2312" w:eastAsia="仿宋_GB2312" w:cs="ArialUnicodeMS" w:hAnsiTheme="minorHAnsi"/>
          <w:kern w:val="0"/>
          <w:sz w:val="32"/>
          <w:szCs w:val="32"/>
          <w:highlight w:val="yellow"/>
        </w:rPr>
      </w:pPr>
      <w:r>
        <w:rPr>
          <w:rFonts w:hint="eastAsia" w:ascii="仿宋_GB2312" w:hAnsi="仿宋_GB2312" w:eastAsia="仿宋_GB2312" w:cs="仿宋_GB2312"/>
          <w:color w:val="000000"/>
          <w:sz w:val="32"/>
          <w:szCs w:val="32"/>
        </w:rPr>
        <w:t>(十三)承办县委、县政府</w:t>
      </w:r>
      <w:r>
        <w:rPr>
          <w:rFonts w:hint="eastAsia" w:ascii="仿宋_GB2312" w:hAnsi="仿宋_GB2312" w:eastAsia="仿宋_GB2312" w:cs="仿宋_GB2312"/>
          <w:sz w:val="32"/>
          <w:szCs w:val="32"/>
        </w:rPr>
        <w:t>和上级统计部门交办的其他任务</w:t>
      </w:r>
      <w:r>
        <w:rPr>
          <w:rFonts w:hint="eastAsia" w:ascii="仿宋_GB2312" w:hAnsi="仿宋_GB2312" w:eastAsia="仿宋_GB2312" w:cs="仿宋_GB2312"/>
          <w:color w:val="000000"/>
          <w:sz w:val="32"/>
          <w:szCs w:val="32"/>
        </w:rPr>
        <w:t>。</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p>
      <w:pPr>
        <w:spacing w:after="0" w:line="560" w:lineRule="exact"/>
        <w:ind w:firstLine="640" w:firstLineChars="200"/>
        <w:rPr>
          <w:rFonts w:hint="eastAsia" w:ascii="仿宋_GB2312" w:eastAsia="仿宋_GB2312" w:cs="ArialUnicodeMS" w:hAnsiTheme="minorHAnsi"/>
          <w:kern w:val="0"/>
          <w:sz w:val="32"/>
          <w:szCs w:val="32"/>
        </w:rPr>
      </w:pPr>
    </w:p>
    <w:tbl>
      <w:tblPr>
        <w:tblStyle w:val="14"/>
        <w:tblpPr w:leftFromText="180" w:rightFromText="180" w:vertAnchor="text" w:horzAnchor="page" w:tblpXSpec="center" w:tblpY="10"/>
        <w:tblOverlap w:val="never"/>
        <w:tblW w:w="9050" w:type="dxa"/>
        <w:jc w:val="center"/>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3975"/>
        <w:gridCol w:w="228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2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97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280"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1870"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2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97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大厂回族自治县统计局</w:t>
            </w:r>
            <w:r>
              <w:rPr>
                <w:rFonts w:hint="eastAsia" w:ascii="仿宋_GB2312" w:eastAsia="仿宋_GB2312" w:cs="ArialUnicodeMS" w:hAnsiTheme="minorHAnsi"/>
                <w:kern w:val="0"/>
                <w:sz w:val="28"/>
                <w:szCs w:val="28"/>
              </w:rPr>
              <w:t>(本级)</w:t>
            </w:r>
          </w:p>
        </w:tc>
        <w:tc>
          <w:tcPr>
            <w:tcW w:w="2280"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行政单位</w:t>
            </w:r>
          </w:p>
        </w:tc>
        <w:tc>
          <w:tcPr>
            <w:tcW w:w="1870"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vMerge w:val="restart"/>
            <w:tcBorders>
              <w:top w:val="nil"/>
              <w:left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廊坊市大厂回族自治县统计局（本级）局</w:t>
            </w: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2700" w:type="dxa"/>
            <w:vMerge w:val="continue"/>
            <w:tcBorders>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hint="eastAsia" w:ascii="宋体" w:hAnsi="宋体" w:eastAsia="宋体" w:cs="宋体"/>
                <w:color w:val="000000"/>
                <w:sz w:val="20"/>
                <w:szCs w:val="20"/>
                <w:lang w:eastAsia="zh-CN"/>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581.07</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494.99</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0.30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44.07</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15.76</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26.44</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581.37</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581.26</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5.70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586.96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586.96</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310" w:type="dxa"/>
        <w:jc w:val="center"/>
        <w:tblInd w:w="0" w:type="dxa"/>
        <w:tblLayout w:type="fixed"/>
        <w:tblCellMar>
          <w:top w:w="0" w:type="dxa"/>
          <w:left w:w="0" w:type="dxa"/>
          <w:bottom w:w="0" w:type="dxa"/>
          <w:right w:w="0" w:type="dxa"/>
        </w:tblCellMar>
      </w:tblPr>
      <w:tblGrid>
        <w:gridCol w:w="335"/>
        <w:gridCol w:w="179"/>
        <w:gridCol w:w="304"/>
        <w:gridCol w:w="3482"/>
        <w:gridCol w:w="90"/>
        <w:gridCol w:w="260"/>
        <w:gridCol w:w="495"/>
        <w:gridCol w:w="320"/>
        <w:gridCol w:w="252"/>
        <w:gridCol w:w="233"/>
        <w:gridCol w:w="71"/>
        <w:gridCol w:w="260"/>
        <w:gridCol w:w="299"/>
        <w:gridCol w:w="256"/>
        <w:gridCol w:w="260"/>
        <w:gridCol w:w="129"/>
        <w:gridCol w:w="426"/>
        <w:gridCol w:w="260"/>
        <w:gridCol w:w="34"/>
        <w:gridCol w:w="645"/>
        <w:gridCol w:w="720"/>
      </w:tblGrid>
      <w:tr>
        <w:tblPrEx>
          <w:tblLayout w:type="fixed"/>
          <w:tblCellMar>
            <w:top w:w="0" w:type="dxa"/>
            <w:left w:w="0" w:type="dxa"/>
            <w:bottom w:w="0" w:type="dxa"/>
            <w:right w:w="0" w:type="dxa"/>
          </w:tblCellMar>
        </w:tblPrEx>
        <w:trPr>
          <w:trHeight w:val="604" w:hRule="atLeast"/>
          <w:jc w:val="center"/>
        </w:trPr>
        <w:tc>
          <w:tcPr>
            <w:tcW w:w="9310" w:type="dxa"/>
            <w:gridSpan w:val="2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48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9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both"/>
              <w:textAlignment w:val="center"/>
              <w:rPr>
                <w:rFonts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362" w:hRule="atLeast"/>
          <w:jc w:val="center"/>
        </w:trPr>
        <w:tc>
          <w:tcPr>
            <w:tcW w:w="4300"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廊坊市大厂回族自治县统计局（本级）</w:t>
            </w: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27"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659"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both"/>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5" w:hRule="atLeast"/>
          <w:jc w:val="center"/>
        </w:trPr>
        <w:tc>
          <w:tcPr>
            <w:tcW w:w="430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45" w:type="dxa"/>
            <w:gridSpan w:val="3"/>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05" w:type="dxa"/>
            <w:gridSpan w:val="3"/>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财政拨款收入</w:t>
            </w:r>
          </w:p>
        </w:tc>
        <w:tc>
          <w:tcPr>
            <w:tcW w:w="630" w:type="dxa"/>
            <w:gridSpan w:val="3"/>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上级补助收入</w:t>
            </w:r>
          </w:p>
        </w:tc>
        <w:tc>
          <w:tcPr>
            <w:tcW w:w="645" w:type="dxa"/>
            <w:gridSpan w:val="3"/>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事业收入</w:t>
            </w:r>
          </w:p>
        </w:tc>
        <w:tc>
          <w:tcPr>
            <w:tcW w:w="720" w:type="dxa"/>
            <w:gridSpan w:val="3"/>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经营收入</w:t>
            </w:r>
          </w:p>
        </w:tc>
        <w:tc>
          <w:tcPr>
            <w:tcW w:w="645" w:type="dxa"/>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720" w:type="dxa"/>
            <w:vMerge w:val="restart"/>
            <w:tcBorders>
              <w:top w:val="single" w:color="auto" w:sz="4" w:space="0"/>
              <w:left w:val="nil"/>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trHeight w:val="626" w:hRule="atLeast"/>
          <w:jc w:val="center"/>
        </w:trPr>
        <w:tc>
          <w:tcPr>
            <w:tcW w:w="8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48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45" w:type="dxa"/>
            <w:gridSpan w:val="3"/>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05"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p>
        </w:tc>
        <w:tc>
          <w:tcPr>
            <w:tcW w:w="630"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p>
        </w:tc>
        <w:tc>
          <w:tcPr>
            <w:tcW w:w="645"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p>
        </w:tc>
        <w:tc>
          <w:tcPr>
            <w:tcW w:w="720"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p>
        </w:tc>
        <w:tc>
          <w:tcPr>
            <w:tcW w:w="64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p>
        </w:tc>
        <w:tc>
          <w:tcPr>
            <w:tcW w:w="720"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91" w:hRule="atLeast"/>
          <w:jc w:val="center"/>
        </w:trPr>
        <w:tc>
          <w:tcPr>
            <w:tcW w:w="4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Layout w:type="fixed"/>
          <w:tblCellMar>
            <w:top w:w="0" w:type="dxa"/>
            <w:left w:w="0" w:type="dxa"/>
            <w:bottom w:w="0" w:type="dxa"/>
            <w:right w:w="0" w:type="dxa"/>
          </w:tblCellMar>
        </w:tblPrEx>
        <w:trPr>
          <w:trHeight w:val="567" w:hRule="exact"/>
          <w:jc w:val="center"/>
        </w:trPr>
        <w:tc>
          <w:tcPr>
            <w:tcW w:w="4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4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 w:val="18"/>
                <w:szCs w:val="18"/>
              </w:rPr>
            </w:pPr>
            <w:r>
              <w:rPr>
                <w:rFonts w:hint="eastAsia" w:ascii="宋体" w:hAnsi="宋体" w:eastAsia="宋体" w:cs="宋体"/>
                <w:b w:val="0"/>
                <w:bCs/>
                <w:i w:val="0"/>
                <w:color w:val="000000"/>
                <w:kern w:val="0"/>
                <w:sz w:val="22"/>
                <w:szCs w:val="22"/>
                <w:u w:val="none"/>
                <w:lang w:val="en-US" w:eastAsia="zh-CN" w:bidi="ar"/>
              </w:rPr>
              <w:t>581.37</w:t>
            </w:r>
          </w:p>
        </w:tc>
        <w:tc>
          <w:tcPr>
            <w:tcW w:w="80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 w:val="18"/>
                <w:szCs w:val="18"/>
              </w:rPr>
            </w:pPr>
            <w:r>
              <w:rPr>
                <w:rFonts w:hint="eastAsia" w:ascii="宋体" w:hAnsi="宋体" w:eastAsia="宋体" w:cs="宋体"/>
                <w:b w:val="0"/>
                <w:bCs/>
                <w:i w:val="0"/>
                <w:color w:val="000000"/>
                <w:kern w:val="0"/>
                <w:sz w:val="22"/>
                <w:szCs w:val="22"/>
                <w:u w:val="none"/>
                <w:lang w:val="en-US" w:eastAsia="zh-CN" w:bidi="ar"/>
              </w:rPr>
              <w:t>581.07</w:t>
            </w:r>
          </w:p>
        </w:tc>
        <w:tc>
          <w:tcPr>
            <w:tcW w:w="63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 w:val="18"/>
                <w:szCs w:val="18"/>
              </w:rPr>
            </w:pPr>
          </w:p>
        </w:tc>
        <w:tc>
          <w:tcPr>
            <w:tcW w:w="64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 w:val="18"/>
                <w:szCs w:val="18"/>
              </w:rPr>
            </w:pPr>
          </w:p>
        </w:tc>
        <w:tc>
          <w:tcPr>
            <w:tcW w:w="7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 w:val="18"/>
                <w:szCs w:val="18"/>
              </w:rPr>
            </w:pPr>
          </w:p>
        </w:tc>
        <w:tc>
          <w:tcPr>
            <w:tcW w:w="64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 w:val="18"/>
                <w:szCs w:val="18"/>
              </w:rPr>
            </w:pPr>
          </w:p>
        </w:tc>
        <w:tc>
          <w:tcPr>
            <w:tcW w:w="7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 w:val="18"/>
                <w:szCs w:val="18"/>
              </w:rPr>
            </w:pPr>
            <w:r>
              <w:rPr>
                <w:rFonts w:hint="eastAsia" w:ascii="宋体" w:hAnsi="宋体" w:eastAsia="宋体" w:cs="宋体"/>
                <w:b w:val="0"/>
                <w:bCs/>
                <w:i w:val="0"/>
                <w:color w:val="000000"/>
                <w:kern w:val="0"/>
                <w:sz w:val="22"/>
                <w:szCs w:val="22"/>
                <w:u w:val="none"/>
                <w:lang w:val="en-US" w:eastAsia="zh-CN" w:bidi="ar"/>
              </w:rPr>
              <w:t>0.30</w:t>
            </w: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495.09</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494.79</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0.30</w:t>
            </w: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统计信息事务</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495.09</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494.79</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0.30</w:t>
            </w: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2010501</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447.79</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447.79</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2010505</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专项统计业务</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20.30</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20.00</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0.30</w:t>
            </w: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2010507</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专项普查活动</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27.00</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27.00</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794"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2080505</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80" w:lineRule="exact"/>
              <w:jc w:val="left"/>
              <w:textAlignment w:val="auto"/>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医疗卫生与计划生育支出</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2101101</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jc w:val="center"/>
        </w:trPr>
        <w:tc>
          <w:tcPr>
            <w:tcW w:w="81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2210201</w:t>
            </w:r>
          </w:p>
        </w:tc>
        <w:tc>
          <w:tcPr>
            <w:tcW w:w="3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8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6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81" w:hRule="atLeast"/>
          <w:jc w:val="center"/>
        </w:trPr>
        <w:tc>
          <w:tcPr>
            <w:tcW w:w="9310" w:type="dxa"/>
            <w:gridSpan w:val="2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hint="eastAsia" w:ascii="宋体" w:hAnsi="宋体" w:eastAsia="宋体" w:cs="宋体"/>
          <w:i w:val="0"/>
          <w:color w:val="000000"/>
          <w:kern w:val="0"/>
          <w:sz w:val="22"/>
          <w:szCs w:val="22"/>
          <w:u w:val="none"/>
          <w:lang w:val="en-US" w:eastAsia="zh-CN" w:bidi="ar"/>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352"/>
        <w:gridCol w:w="3093"/>
        <w:gridCol w:w="240"/>
        <w:gridCol w:w="267"/>
        <w:gridCol w:w="90"/>
        <w:gridCol w:w="763"/>
        <w:gridCol w:w="355"/>
        <w:gridCol w:w="562"/>
        <w:gridCol w:w="201"/>
        <w:gridCol w:w="357"/>
        <w:gridCol w:w="222"/>
        <w:gridCol w:w="645"/>
        <w:gridCol w:w="645"/>
        <w:gridCol w:w="629"/>
      </w:tblGrid>
      <w:tr>
        <w:tblPrEx>
          <w:tblLayout w:type="fixed"/>
          <w:tblCellMar>
            <w:top w:w="0" w:type="dxa"/>
            <w:left w:w="0" w:type="dxa"/>
            <w:bottom w:w="0" w:type="dxa"/>
            <w:right w:w="0" w:type="dxa"/>
          </w:tblCellMar>
        </w:tblPrEx>
        <w:trPr>
          <w:trHeight w:val="798" w:hRule="atLeast"/>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60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6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2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公开03表</w:t>
            </w:r>
          </w:p>
        </w:tc>
      </w:tr>
      <w:tr>
        <w:tblPrEx>
          <w:tblLayout w:type="fixed"/>
          <w:tblCellMar>
            <w:top w:w="0" w:type="dxa"/>
            <w:left w:w="0" w:type="dxa"/>
            <w:bottom w:w="0" w:type="dxa"/>
            <w:right w:w="0" w:type="dxa"/>
          </w:tblCellMar>
        </w:tblPrEx>
        <w:trPr>
          <w:trHeight w:val="380" w:hRule="atLeast"/>
        </w:trPr>
        <w:tc>
          <w:tcPr>
            <w:tcW w:w="4024"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部门：廊坊市大厂回族自治县统计局（本级）</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597" w:hRule="atLeast"/>
        </w:trPr>
        <w:tc>
          <w:tcPr>
            <w:tcW w:w="453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5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917"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780" w:type="dxa"/>
            <w:gridSpan w:val="3"/>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64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64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629"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Layout w:type="fixed"/>
          <w:tblCellMar>
            <w:top w:w="0" w:type="dxa"/>
            <w:left w:w="0" w:type="dxa"/>
            <w:bottom w:w="0" w:type="dxa"/>
            <w:right w:w="0" w:type="dxa"/>
          </w:tblCellMar>
        </w:tblPrEx>
        <w:trPr>
          <w:trHeight w:val="803" w:hRule="atLeast"/>
        </w:trPr>
        <w:tc>
          <w:tcPr>
            <w:tcW w:w="93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17"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80"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4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4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29"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95" w:hRule="atLeast"/>
        </w:trPr>
        <w:tc>
          <w:tcPr>
            <w:tcW w:w="453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5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78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6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567" w:hRule="exact"/>
        </w:trPr>
        <w:tc>
          <w:tcPr>
            <w:tcW w:w="453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r>
              <w:rPr>
                <w:rFonts w:hint="eastAsia" w:ascii="宋体" w:hAnsi="宋体" w:eastAsia="宋体" w:cs="宋体"/>
                <w:b w:val="0"/>
                <w:bCs/>
                <w:i w:val="0"/>
                <w:color w:val="000000"/>
                <w:kern w:val="0"/>
                <w:sz w:val="22"/>
                <w:szCs w:val="22"/>
                <w:u w:val="none"/>
                <w:lang w:val="en-US" w:eastAsia="zh-CN" w:bidi="ar"/>
              </w:rPr>
              <w:t>581.26</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r>
              <w:rPr>
                <w:rFonts w:hint="eastAsia" w:ascii="宋体" w:hAnsi="宋体" w:eastAsia="宋体" w:cs="宋体"/>
                <w:b w:val="0"/>
                <w:bCs/>
                <w:i w:val="0"/>
                <w:color w:val="000000"/>
                <w:kern w:val="0"/>
                <w:sz w:val="22"/>
                <w:szCs w:val="22"/>
                <w:u w:val="none"/>
                <w:lang w:val="en-US" w:eastAsia="zh-CN" w:bidi="ar"/>
              </w:rPr>
              <w:t>532.69</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r>
              <w:rPr>
                <w:rFonts w:hint="eastAsia" w:ascii="宋体" w:hAnsi="宋体" w:eastAsia="宋体" w:cs="宋体"/>
                <w:b w:val="0"/>
                <w:bCs/>
                <w:i w:val="0"/>
                <w:color w:val="000000"/>
                <w:kern w:val="0"/>
                <w:sz w:val="22"/>
                <w:szCs w:val="22"/>
                <w:u w:val="none"/>
                <w:lang w:val="en-US" w:eastAsia="zh-CN" w:bidi="ar"/>
              </w:rPr>
              <w:t>48.58</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494.99</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446.42</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48.58</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统计信息事务</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494.99</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446.42</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48.58</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2010501</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446.42</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446.42</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2010505</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专项统计业务</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19.66</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19.66</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2010507</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专项普查活动</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28.91</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28.91</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2080505</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医疗卫生与计划生育支出</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2101101</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2210201</w:t>
            </w:r>
          </w:p>
        </w:tc>
        <w:tc>
          <w:tcPr>
            <w:tcW w:w="360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85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9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78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部门：廊坊市大厂回族自治县统计局（本级）</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581.07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492.96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492.96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44.07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44.07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15.76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15.76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26.44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581.07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579.23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579.23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1.83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1.83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581.07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581.07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581.07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3073"/>
        <w:gridCol w:w="1185"/>
        <w:gridCol w:w="90"/>
        <w:gridCol w:w="398"/>
        <w:gridCol w:w="787"/>
        <w:gridCol w:w="488"/>
        <w:gridCol w:w="742"/>
        <w:gridCol w:w="1104"/>
      </w:tblGrid>
      <w:tr>
        <w:tblPrEx>
          <w:tblLayout w:type="fixed"/>
          <w:tblCellMar>
            <w:top w:w="0" w:type="dxa"/>
            <w:left w:w="0" w:type="dxa"/>
            <w:bottom w:w="0" w:type="dxa"/>
            <w:right w:w="0" w:type="dxa"/>
          </w:tblCellMar>
        </w:tblPrEx>
        <w:trPr>
          <w:trHeight w:val="600" w:hRule="atLeast"/>
        </w:trPr>
        <w:tc>
          <w:tcPr>
            <w:tcW w:w="8860" w:type="dxa"/>
            <w:gridSpan w:val="11"/>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25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673"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4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trHeight w:val="334" w:hRule="atLeast"/>
        </w:trPr>
        <w:tc>
          <w:tcPr>
            <w:tcW w:w="4066"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部门：廊坊市大厂回族自治县统计局（本级）</w:t>
            </w:r>
          </w:p>
        </w:tc>
        <w:tc>
          <w:tcPr>
            <w:tcW w:w="1673"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461" w:hRule="atLeast"/>
        </w:trPr>
        <w:tc>
          <w:tcPr>
            <w:tcW w:w="525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360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trHeight w:val="312" w:hRule="exac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4258"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275"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23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0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258"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75"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3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258"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75"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3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48" w:hRule="atLeast"/>
        </w:trPr>
        <w:tc>
          <w:tcPr>
            <w:tcW w:w="525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0" w:type="dxa"/>
            <w:left w:w="0" w:type="dxa"/>
            <w:bottom w:w="0" w:type="dxa"/>
            <w:right w:w="0" w:type="dxa"/>
          </w:tblCellMar>
        </w:tblPrEx>
        <w:trPr>
          <w:trHeight w:val="567" w:hRule="exact"/>
        </w:trPr>
        <w:tc>
          <w:tcPr>
            <w:tcW w:w="525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r>
              <w:rPr>
                <w:rFonts w:hint="eastAsia" w:ascii="宋体" w:hAnsi="宋体" w:eastAsia="宋体" w:cs="宋体"/>
                <w:b w:val="0"/>
                <w:bCs/>
                <w:i w:val="0"/>
                <w:color w:val="000000"/>
                <w:kern w:val="0"/>
                <w:sz w:val="22"/>
                <w:szCs w:val="22"/>
                <w:u w:val="none"/>
                <w:lang w:val="en-US" w:eastAsia="zh-CN" w:bidi="ar"/>
              </w:rPr>
              <w:t>579.23</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r>
              <w:rPr>
                <w:rFonts w:hint="eastAsia" w:ascii="宋体" w:hAnsi="宋体" w:eastAsia="宋体" w:cs="宋体"/>
                <w:b w:val="0"/>
                <w:bCs/>
                <w:i w:val="0"/>
                <w:color w:val="000000"/>
                <w:kern w:val="0"/>
                <w:sz w:val="22"/>
                <w:szCs w:val="22"/>
                <w:u w:val="none"/>
                <w:lang w:val="en-US" w:eastAsia="zh-CN" w:bidi="ar"/>
              </w:rPr>
              <w:t>532.69</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val="0"/>
                <w:bCs/>
                <w:color w:val="000000"/>
                <w:szCs w:val="21"/>
              </w:rPr>
            </w:pPr>
            <w:r>
              <w:rPr>
                <w:rFonts w:hint="eastAsia" w:ascii="宋体" w:hAnsi="宋体" w:eastAsia="宋体" w:cs="宋体"/>
                <w:b w:val="0"/>
                <w:bCs/>
                <w:i w:val="0"/>
                <w:color w:val="000000"/>
                <w:kern w:val="0"/>
                <w:sz w:val="22"/>
                <w:szCs w:val="22"/>
                <w:u w:val="none"/>
                <w:lang w:val="en-US" w:eastAsia="zh-CN" w:bidi="ar"/>
              </w:rPr>
              <w:t>46.54</w:t>
            </w: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492.96</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446.42</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46.54</w:t>
            </w: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统计信息事务</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492.96</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446.42</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46.54</w:t>
            </w: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2010501</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446.42</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446.42</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2010505</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专项统计业务</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19.62</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19.62</w:t>
            </w: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2010507</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专项普查活动</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26.92</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26.92</w:t>
            </w: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2080505</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44.07</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医疗卫生与计划生育支出</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2101101</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15.76</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2210201</w:t>
            </w:r>
          </w:p>
        </w:tc>
        <w:tc>
          <w:tcPr>
            <w:tcW w:w="42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12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12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26.44</w:t>
            </w:r>
          </w:p>
        </w:tc>
        <w:tc>
          <w:tcPr>
            <w:tcW w:w="1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Ind w:w="0" w:type="dxa"/>
        <w:tblLayout w:type="fixed"/>
        <w:tblCellMar>
          <w:top w:w="0" w:type="dxa"/>
          <w:left w:w="0" w:type="dxa"/>
          <w:bottom w:w="0" w:type="dxa"/>
          <w:right w:w="0" w:type="dxa"/>
        </w:tblCellMar>
      </w:tblPr>
      <w:tblGrid>
        <w:gridCol w:w="558"/>
        <w:gridCol w:w="1681"/>
        <w:gridCol w:w="756"/>
        <w:gridCol w:w="477"/>
        <w:gridCol w:w="1763"/>
        <w:gridCol w:w="740"/>
        <w:gridCol w:w="560"/>
        <w:gridCol w:w="1914"/>
        <w:gridCol w:w="731"/>
      </w:tblGrid>
      <w:tr>
        <w:tblPrEx>
          <w:tblLayout w:type="fixed"/>
          <w:tblCellMar>
            <w:top w:w="0" w:type="dxa"/>
            <w:left w:w="0" w:type="dxa"/>
            <w:bottom w:w="0" w:type="dxa"/>
            <w:right w:w="0" w:type="dxa"/>
          </w:tblCellMar>
        </w:tblPrEx>
        <w:trPr>
          <w:trHeight w:val="564"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681"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5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rPr>
              <w:t>廊坊市大厂回族自治县统计局（本级）</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68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9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3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68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9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387.37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65.15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115.19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3.81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154.54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11.80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8.48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0.93</w:t>
            </w: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12.97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0.45</w:t>
            </w:r>
          </w:p>
        </w:tc>
      </w:tr>
      <w:tr>
        <w:tblPrEx>
          <w:tblLayout w:type="fixed"/>
          <w:tblCellMar>
            <w:top w:w="0" w:type="dxa"/>
            <w:left w:w="0" w:type="dxa"/>
            <w:bottom w:w="0" w:type="dxa"/>
            <w:right w:w="0" w:type="dxa"/>
          </w:tblCellMar>
        </w:tblPrEx>
        <w:trPr>
          <w:trHeight w:val="487"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44.07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16.75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15.76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2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0.49</w:t>
            </w: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1.15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0.98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26.44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1.24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8.77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79.23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1.65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0.10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0.10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4.34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3.25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5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79.13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2.85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2.37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57"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15.40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6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16"/>
                <w:szCs w:val="16"/>
                <w:lang w:val="en-US" w:eastAsia="zh-CN" w:bidi="ar-SA"/>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0.61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9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2" w:hRule="exact"/>
          <w:jc w:val="center"/>
        </w:trPr>
        <w:tc>
          <w:tcPr>
            <w:tcW w:w="22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eastAsia="宋体" w:cs="宋体"/>
                <w:color w:val="000000"/>
                <w:kern w:val="0"/>
                <w:sz w:val="16"/>
                <w:szCs w:val="16"/>
                <w:lang w:val="en-US" w:eastAsia="zh-CN" w:bidi="ar-SA"/>
              </w:rPr>
            </w:pPr>
            <w:r>
              <w:rPr>
                <w:rFonts w:hint="eastAsia" w:ascii="宋体" w:hAnsi="宋体" w:eastAsia="宋体" w:cs="宋体"/>
                <w:color w:val="000000"/>
                <w:kern w:val="0"/>
                <w:sz w:val="16"/>
                <w:szCs w:val="16"/>
                <w:lang w:val="en-US" w:eastAsia="zh-CN" w:bidi="ar-SA"/>
              </w:rPr>
              <w:t>466.60</w:t>
            </w:r>
          </w:p>
        </w:tc>
        <w:tc>
          <w:tcPr>
            <w:tcW w:w="545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66.09</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廊坊市大厂回族自治县统计局（本级）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4.97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0.97</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3.89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0.52</w:t>
            </w: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部门：廊坊市大厂回族自治县统计局（本级）</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注：本</w:t>
            </w:r>
            <w:r>
              <w:rPr>
                <w:rFonts w:hint="eastAsia" w:ascii="宋体" w:hAnsi="宋体" w:cs="宋体"/>
                <w:color w:val="000000"/>
                <w:kern w:val="0"/>
                <w:szCs w:val="21"/>
                <w:lang w:eastAsia="zh-CN"/>
              </w:rPr>
              <w:t>部门本年度无相关收入支出情况，按要求空表列示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Cs w:val="21"/>
              </w:rPr>
              <w:t>本</w:t>
            </w:r>
            <w:r>
              <w:rPr>
                <w:rFonts w:hint="eastAsia" w:ascii="宋体" w:hAnsi="宋体" w:cs="宋体"/>
                <w:color w:val="000000"/>
                <w:kern w:val="0"/>
                <w:szCs w:val="21"/>
                <w:lang w:eastAsia="zh-CN"/>
              </w:rPr>
              <w:t>部门本年度无相关支出情况，按要求空表列示</w:t>
            </w:r>
            <w:r>
              <w:rPr>
                <w:rFonts w:hint="eastAsia" w:ascii="宋体" w:hAnsi="宋体" w:cs="宋体"/>
                <w:color w:val="000000"/>
                <w:kern w:val="0"/>
                <w:szCs w:val="21"/>
              </w:rPr>
              <w:t>。</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 w:val="22"/>
                <w:szCs w:val="22"/>
              </w:rPr>
              <w:t>注：</w:t>
            </w:r>
            <w:r>
              <w:rPr>
                <w:rFonts w:hint="eastAsia" w:ascii="宋体" w:hAnsi="宋体" w:cs="宋体"/>
                <w:color w:val="000000"/>
                <w:kern w:val="0"/>
                <w:szCs w:val="21"/>
              </w:rPr>
              <w:t>本</w:t>
            </w:r>
            <w:r>
              <w:rPr>
                <w:rFonts w:hint="eastAsia" w:ascii="宋体" w:hAnsi="宋体" w:cs="宋体"/>
                <w:color w:val="000000"/>
                <w:kern w:val="0"/>
                <w:szCs w:val="21"/>
                <w:lang w:eastAsia="zh-CN"/>
              </w:rPr>
              <w:t>部门本年度无相关支出情况，按要求空表列示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586.96</w:t>
      </w:r>
      <w:r>
        <w:rPr>
          <w:rFonts w:hint="eastAsia" w:ascii="仿宋_GB2312" w:eastAsia="仿宋_GB2312" w:cs="DengXian-Regular"/>
          <w:sz w:val="32"/>
          <w:szCs w:val="32"/>
        </w:rPr>
        <w:t>万元。与2017年度决算相比，收支各增加</w:t>
      </w:r>
      <w:r>
        <w:rPr>
          <w:rFonts w:hint="eastAsia" w:ascii="仿宋_GB2312" w:eastAsia="仿宋_GB2312" w:cs="DengXian-Regular"/>
          <w:sz w:val="32"/>
          <w:szCs w:val="32"/>
          <w:lang w:val="en-US" w:eastAsia="zh-CN"/>
        </w:rPr>
        <w:t>20.08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3.54</w:t>
      </w:r>
      <w:r>
        <w:rPr>
          <w:rFonts w:hint="eastAsia" w:ascii="仿宋_GB2312" w:eastAsia="仿宋_GB2312" w:cs="DengXian-Regular"/>
          <w:sz w:val="32"/>
          <w:szCs w:val="32"/>
        </w:rPr>
        <w:t>%，主要是</w:t>
      </w:r>
      <w:r>
        <w:rPr>
          <w:rFonts w:hint="eastAsia" w:ascii="仿宋" w:hAnsi="仿宋" w:eastAsia="仿宋"/>
          <w:sz w:val="32"/>
          <w:szCs w:val="32"/>
          <w:lang w:val="en-US" w:eastAsia="zh-CN"/>
        </w:rPr>
        <w:t>人员经费及上级拨付的各项调查经费有所增加。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581.37</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581.07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99.95</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0.05</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r>
        <w:drawing>
          <wp:anchor distT="0" distB="0" distL="114300" distR="114300" simplePos="0" relativeHeight="251659264" behindDoc="0" locked="0" layoutInCell="1" allowOverlap="1">
            <wp:simplePos x="0" y="0"/>
            <wp:positionH relativeFrom="column">
              <wp:posOffset>4445</wp:posOffset>
            </wp:positionH>
            <wp:positionV relativeFrom="paragraph">
              <wp:posOffset>255905</wp:posOffset>
            </wp:positionV>
            <wp:extent cx="5496560" cy="2132330"/>
            <wp:effectExtent l="5080" t="4445" r="22860" b="1587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581.26</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532.69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91.64</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48.58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8.36</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r>
        <w:drawing>
          <wp:anchor distT="0" distB="0" distL="114300" distR="114300" simplePos="0" relativeHeight="251660288" behindDoc="0" locked="0" layoutInCell="1" allowOverlap="1">
            <wp:simplePos x="0" y="0"/>
            <wp:positionH relativeFrom="column">
              <wp:posOffset>545465</wp:posOffset>
            </wp:positionH>
            <wp:positionV relativeFrom="paragraph">
              <wp:posOffset>53975</wp:posOffset>
            </wp:positionV>
            <wp:extent cx="4791710" cy="2162810"/>
            <wp:effectExtent l="4445" t="4445" r="23495" b="23495"/>
            <wp:wrapSquare wrapText="bothSides"/>
            <wp:docPr id="1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581.07</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29.7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5.39</w:t>
      </w:r>
      <w:r>
        <w:rPr>
          <w:rFonts w:hint="eastAsia" w:ascii="仿宋_GB2312" w:eastAsia="仿宋_GB2312" w:cs="DengXian-Regular"/>
          <w:sz w:val="32"/>
          <w:szCs w:val="32"/>
        </w:rPr>
        <w:t>%，主要是</w:t>
      </w:r>
      <w:r>
        <w:rPr>
          <w:rFonts w:hint="eastAsia" w:ascii="仿宋" w:hAnsi="仿宋" w:eastAsia="仿宋"/>
          <w:sz w:val="32"/>
          <w:szCs w:val="32"/>
          <w:lang w:val="en-US" w:eastAsia="zh-CN"/>
        </w:rPr>
        <w:t>人员经费及上级拨付的各项调查经费有所增加</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579.23</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22.77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4.09</w:t>
      </w:r>
      <w:r>
        <w:rPr>
          <w:rFonts w:hint="eastAsia" w:ascii="仿宋_GB2312" w:eastAsia="仿宋_GB2312" w:cs="DengXian-Regular"/>
          <w:sz w:val="32"/>
          <w:szCs w:val="32"/>
        </w:rPr>
        <w:t>%，主要是</w:t>
      </w:r>
      <w:r>
        <w:rPr>
          <w:rFonts w:hint="eastAsia" w:ascii="仿宋" w:hAnsi="仿宋" w:eastAsia="仿宋"/>
          <w:sz w:val="32"/>
          <w:szCs w:val="32"/>
          <w:lang w:val="en-US" w:eastAsia="zh-CN"/>
        </w:rPr>
        <w:t>人员经费及上级拨付的各项调查经费有所增加。</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420" w:firstLineChars="200"/>
        <w:rPr>
          <w:rFonts w:ascii="仿宋_GB2312" w:eastAsia="仿宋_GB2312" w:cs="DengXian-Regular"/>
          <w:sz w:val="32"/>
          <w:szCs w:val="32"/>
        </w:rPr>
      </w:pPr>
      <w:r>
        <w:drawing>
          <wp:anchor distT="0" distB="0" distL="114300" distR="114300" simplePos="0" relativeHeight="251661312" behindDoc="1" locked="0" layoutInCell="1" allowOverlap="1">
            <wp:simplePos x="0" y="0"/>
            <wp:positionH relativeFrom="column">
              <wp:posOffset>356235</wp:posOffset>
            </wp:positionH>
            <wp:positionV relativeFrom="paragraph">
              <wp:posOffset>343535</wp:posOffset>
            </wp:positionV>
            <wp:extent cx="4973320" cy="2029460"/>
            <wp:effectExtent l="5080" t="4445" r="12700" b="80645"/>
            <wp:wrapTight wrapText="bothSides">
              <wp:wrapPolygon>
                <wp:start x="-22" y="-47"/>
                <wp:lineTo x="-22" y="21445"/>
                <wp:lineTo x="21572" y="21445"/>
                <wp:lineTo x="21572" y="-47"/>
                <wp:lineTo x="-22" y="-47"/>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581.07</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579.23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99.75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1.48</w:t>
      </w:r>
      <w:r>
        <w:rPr>
          <w:rFonts w:hint="eastAsia" w:ascii="仿宋_GB2312" w:eastAsia="仿宋_GB2312" w:cs="DengXian-Regular"/>
          <w:sz w:val="32"/>
          <w:szCs w:val="32"/>
        </w:rPr>
        <w:t>万元，决算数小于预算数主要是厉行节约，压缩经费。</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420" w:firstLineChars="200"/>
        <w:rPr>
          <w:rFonts w:ascii="仿宋_GB2312" w:eastAsia="仿宋_GB2312" w:cs="DengXian-Regular"/>
          <w:sz w:val="32"/>
          <w:szCs w:val="32"/>
          <w:highlight w:val="yellow"/>
        </w:rPr>
      </w:pPr>
      <w:r>
        <w:drawing>
          <wp:anchor distT="0" distB="0" distL="114300" distR="114300" simplePos="0" relativeHeight="251662336" behindDoc="1" locked="0" layoutInCell="1" allowOverlap="1">
            <wp:simplePos x="0" y="0"/>
            <wp:positionH relativeFrom="column">
              <wp:posOffset>490220</wp:posOffset>
            </wp:positionH>
            <wp:positionV relativeFrom="paragraph">
              <wp:posOffset>153035</wp:posOffset>
            </wp:positionV>
            <wp:extent cx="4714875" cy="1962150"/>
            <wp:effectExtent l="4445" t="4445" r="5080" b="14605"/>
            <wp:wrapTight wrapText="bothSides">
              <wp:wrapPolygon>
                <wp:start x="-20" y="-49"/>
                <wp:lineTo x="-20" y="21551"/>
                <wp:lineTo x="21536" y="21551"/>
                <wp:lineTo x="21536" y="-49"/>
                <wp:lineTo x="-20" y="-49"/>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579.23</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492.96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85.11</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44.07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7.61</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w:t>
      </w:r>
      <w:r>
        <w:rPr>
          <w:rFonts w:hint="eastAsia" w:ascii="仿宋_GB2312" w:eastAsia="仿宋_GB2312" w:cs="DengXian-Regular"/>
          <w:sz w:val="32"/>
          <w:szCs w:val="32"/>
        </w:rPr>
        <w:t xml:space="preserve">（类）支出 </w:t>
      </w:r>
      <w:r>
        <w:rPr>
          <w:rFonts w:hint="eastAsia" w:ascii="仿宋_GB2312" w:eastAsia="仿宋_GB2312" w:cs="DengXian-Regular"/>
          <w:sz w:val="32"/>
          <w:szCs w:val="32"/>
          <w:lang w:val="en-US" w:eastAsia="zh-CN"/>
        </w:rPr>
        <w:t>15.76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2.72</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26.44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4.56</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drawing>
          <wp:anchor distT="0" distB="0" distL="114300" distR="114300" simplePos="0" relativeHeight="251663360" behindDoc="1" locked="0" layoutInCell="1" allowOverlap="1">
            <wp:simplePos x="0" y="0"/>
            <wp:positionH relativeFrom="column">
              <wp:posOffset>556895</wp:posOffset>
            </wp:positionH>
            <wp:positionV relativeFrom="paragraph">
              <wp:posOffset>353060</wp:posOffset>
            </wp:positionV>
            <wp:extent cx="4572000" cy="2419985"/>
            <wp:effectExtent l="4445" t="4445" r="14605" b="71120"/>
            <wp:wrapTight wrapText="bothSides">
              <wp:wrapPolygon>
                <wp:start x="-21" y="-40"/>
                <wp:lineTo x="-21" y="21555"/>
                <wp:lineTo x="21579" y="21555"/>
                <wp:lineTo x="21579" y="-40"/>
                <wp:lineTo x="-21" y="-40"/>
              </wp:wrapPolygon>
            </wp:wrapTight>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仿宋_GB2312" w:eastAsia="仿宋_GB2312" w:cs="DengXian-Regular"/>
          <w:sz w:val="32"/>
          <w:szCs w:val="32"/>
          <w:highlight w:val="yellow"/>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532.69</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466.60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66.09</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widowControl/>
        <w:spacing w:line="584" w:lineRule="exact"/>
        <w:ind w:firstLine="640" w:firstLineChars="200"/>
        <w:jc w:val="left"/>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3.89</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1.08</w:t>
      </w:r>
      <w:r>
        <w:rPr>
          <w:rFonts w:eastAsia="仿宋_GB2312"/>
          <w:sz w:val="32"/>
          <w:szCs w:val="32"/>
        </w:rPr>
        <w:t>万元，降低</w:t>
      </w:r>
      <w:r>
        <w:rPr>
          <w:rFonts w:hint="eastAsia" w:eastAsia="仿宋_GB2312"/>
          <w:sz w:val="32"/>
          <w:szCs w:val="32"/>
          <w:lang w:val="en-US" w:eastAsia="zh-CN"/>
        </w:rPr>
        <w:t>21.73</w:t>
      </w:r>
      <w:r>
        <w:rPr>
          <w:rFonts w:eastAsia="仿宋_GB2312"/>
          <w:sz w:val="32"/>
          <w:szCs w:val="32"/>
        </w:rPr>
        <w:t>%，主要是</w:t>
      </w:r>
      <w:r>
        <w:rPr>
          <w:rFonts w:hint="eastAsia" w:ascii="仿宋_GB2312" w:eastAsia="仿宋_GB2312" w:cs="DengXian-Regular"/>
          <w:sz w:val="32"/>
          <w:szCs w:val="32"/>
        </w:rPr>
        <w:t>厉行节约，压缩经费</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0.61</w:t>
      </w:r>
      <w:r>
        <w:rPr>
          <w:rFonts w:eastAsia="仿宋_GB2312"/>
          <w:sz w:val="32"/>
          <w:szCs w:val="32"/>
        </w:rPr>
        <w:t>万元，增长</w:t>
      </w:r>
      <w:r>
        <w:rPr>
          <w:rFonts w:hint="eastAsia" w:eastAsia="仿宋_GB2312"/>
          <w:sz w:val="32"/>
          <w:szCs w:val="32"/>
          <w:lang w:val="en-US" w:eastAsia="zh-CN"/>
        </w:rPr>
        <w:t>18.60</w:t>
      </w:r>
      <w:r>
        <w:rPr>
          <w:rFonts w:eastAsia="仿宋_GB2312"/>
          <w:sz w:val="32"/>
          <w:szCs w:val="32"/>
        </w:rPr>
        <w:t>%，主要是</w:t>
      </w:r>
      <w:r>
        <w:rPr>
          <w:rFonts w:hint="eastAsia" w:eastAsia="仿宋_GB2312"/>
          <w:sz w:val="32"/>
          <w:szCs w:val="32"/>
          <w:lang w:val="en-US" w:eastAsia="zh-CN"/>
        </w:rPr>
        <w:t>2018年上级主管部门培训、会议频繁，统计调查入户、入企业的力度加大</w:t>
      </w:r>
      <w:r>
        <w:rPr>
          <w:rFonts w:hint="eastAsia" w:eastAsia="仿宋_GB2312"/>
          <w:sz w:val="32"/>
          <w:szCs w:val="32"/>
          <w:lang w:eastAsia="zh-CN"/>
        </w:rPr>
        <w:t>，</w:t>
      </w:r>
      <w:r>
        <w:rPr>
          <w:rFonts w:hint="eastAsia" w:eastAsia="仿宋_GB2312"/>
          <w:sz w:val="32"/>
          <w:szCs w:val="32"/>
          <w:lang w:val="en-US" w:eastAsia="zh-CN"/>
        </w:rPr>
        <w:t>上级督导、检查工作较上年有所增加</w:t>
      </w:r>
      <w:r>
        <w:rPr>
          <w:rFonts w:hint="eastAsia" w:eastAsia="仿宋_GB2312"/>
          <w:sz w:val="32"/>
          <w:szCs w:val="32"/>
          <w:lang w:eastAsia="zh-CN"/>
        </w:rPr>
        <w:t>。</w:t>
      </w:r>
      <w:r>
        <w:rPr>
          <w:rFonts w:eastAsia="仿宋_GB2312"/>
          <w:sz w:val="32"/>
          <w:szCs w:val="32"/>
        </w:rPr>
        <w:t>具体情况如下：</w:t>
      </w:r>
    </w:p>
    <w:p>
      <w:pPr>
        <w:numPr>
          <w:ilvl w:val="0"/>
          <w:numId w:val="2"/>
        </w:numPr>
        <w:adjustRightInd w:val="0"/>
        <w:snapToGrid w:val="0"/>
        <w:spacing w:line="584" w:lineRule="exact"/>
        <w:ind w:firstLine="643" w:firstLineChars="200"/>
        <w:rPr>
          <w:rFonts w:hint="eastAsia" w:eastAsia="仿宋_GB2312"/>
          <w:color w:val="auto"/>
          <w:sz w:val="32"/>
          <w:szCs w:val="32"/>
          <w:highlight w:val="none"/>
          <w:lang w:val="en-US" w:eastAsia="zh-CN"/>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w:t>
      </w:r>
      <w:r>
        <w:rPr>
          <w:rFonts w:hint="eastAsia" w:ascii="仿宋_GB2312" w:eastAsia="仿宋_GB2312" w:cs="DengXian-Regular"/>
          <w:color w:val="auto"/>
          <w:sz w:val="32"/>
          <w:szCs w:val="32"/>
        </w:rPr>
        <w:t>组。</w:t>
      </w:r>
      <w:r>
        <w:rPr>
          <w:rFonts w:eastAsia="仿宋_GB2312"/>
          <w:color w:val="auto"/>
          <w:sz w:val="32"/>
          <w:szCs w:val="32"/>
        </w:rPr>
        <w:t>本部门201</w:t>
      </w:r>
      <w:r>
        <w:rPr>
          <w:rFonts w:hint="eastAsia" w:eastAsia="仿宋_GB2312"/>
          <w:color w:val="auto"/>
          <w:sz w:val="32"/>
          <w:szCs w:val="32"/>
        </w:rPr>
        <w:t>8</w:t>
      </w:r>
      <w:r>
        <w:rPr>
          <w:rFonts w:eastAsia="仿宋_GB2312"/>
          <w:color w:val="auto"/>
          <w:sz w:val="32"/>
          <w:szCs w:val="32"/>
        </w:rPr>
        <w:t>年</w:t>
      </w:r>
      <w:r>
        <w:rPr>
          <w:rFonts w:eastAsia="仿宋_GB2312"/>
          <w:color w:val="auto"/>
          <w:sz w:val="32"/>
          <w:szCs w:val="32"/>
          <w:highlight w:val="none"/>
        </w:rPr>
        <w:t>度未发生因公出国（境）费支出</w:t>
      </w:r>
      <w:r>
        <w:rPr>
          <w:rFonts w:hint="eastAsia" w:eastAsia="仿宋_GB2312"/>
          <w:color w:val="auto"/>
          <w:sz w:val="32"/>
          <w:szCs w:val="32"/>
          <w:highlight w:val="none"/>
          <w:lang w:eastAsia="zh-CN"/>
        </w:rPr>
        <w:t>，较年初预算无增减变化，较</w:t>
      </w:r>
      <w:r>
        <w:rPr>
          <w:rFonts w:hint="eastAsia" w:eastAsia="仿宋_GB2312"/>
          <w:color w:val="auto"/>
          <w:sz w:val="32"/>
          <w:szCs w:val="32"/>
          <w:highlight w:val="none"/>
          <w:lang w:val="en-US" w:eastAsia="zh-CN"/>
        </w:rPr>
        <w:t>2017年度决算无增减变化。</w:t>
      </w:r>
    </w:p>
    <w:p>
      <w:pPr>
        <w:numPr>
          <w:numId w:val="0"/>
        </w:numPr>
        <w:adjustRightInd w:val="0"/>
        <w:snapToGrid w:val="0"/>
        <w:spacing w:line="584" w:lineRule="exact"/>
        <w:ind w:firstLine="643" w:firstLineChars="200"/>
        <w:rPr>
          <w:rFonts w:eastAsia="仿宋_GB2312"/>
          <w:b/>
          <w:bCs/>
          <w:sz w:val="32"/>
          <w:szCs w:val="32"/>
          <w:highlight w:val="none"/>
        </w:rPr>
      </w:pPr>
      <w:r>
        <w:rPr>
          <w:rFonts w:eastAsia="楷体_GB2312"/>
          <w:b/>
          <w:bCs/>
          <w:sz w:val="32"/>
          <w:szCs w:val="32"/>
          <w:highlight w:val="none"/>
        </w:rPr>
        <w:t>（二）公务用车购置及运行维护费支出</w:t>
      </w:r>
      <w:r>
        <w:rPr>
          <w:rFonts w:hint="eastAsia" w:eastAsia="楷体_GB2312"/>
          <w:b/>
          <w:bCs/>
          <w:sz w:val="32"/>
          <w:szCs w:val="32"/>
          <w:highlight w:val="none"/>
          <w:lang w:val="en-US" w:eastAsia="zh-CN"/>
        </w:rPr>
        <w:t>3.37</w:t>
      </w:r>
      <w:r>
        <w:rPr>
          <w:rFonts w:eastAsia="楷体_GB2312"/>
          <w:b/>
          <w:bCs/>
          <w:sz w:val="32"/>
          <w:szCs w:val="32"/>
          <w:highlight w:val="none"/>
        </w:rPr>
        <w:t>万元。</w:t>
      </w:r>
      <w:r>
        <w:rPr>
          <w:rFonts w:hint="eastAsia" w:ascii="仿宋_GB2312" w:eastAsia="仿宋_GB2312" w:cs="DengXian-Regular"/>
          <w:sz w:val="32"/>
          <w:szCs w:val="32"/>
          <w:highlight w:val="none"/>
        </w:rPr>
        <w:t>本部门2018年度公务用车购置及运行维护费比年初预算</w:t>
      </w:r>
      <w:r>
        <w:rPr>
          <w:rFonts w:eastAsia="仿宋_GB2312"/>
          <w:sz w:val="32"/>
          <w:szCs w:val="32"/>
          <w:highlight w:val="none"/>
        </w:rPr>
        <w:t>减少</w:t>
      </w:r>
      <w:r>
        <w:rPr>
          <w:rFonts w:hint="eastAsia" w:eastAsia="仿宋_GB2312"/>
          <w:sz w:val="32"/>
          <w:szCs w:val="32"/>
          <w:highlight w:val="none"/>
          <w:lang w:val="en-US" w:eastAsia="zh-CN"/>
        </w:rPr>
        <w:t>0.63</w:t>
      </w:r>
      <w:r>
        <w:rPr>
          <w:rFonts w:eastAsia="仿宋_GB2312"/>
          <w:sz w:val="32"/>
          <w:szCs w:val="32"/>
          <w:highlight w:val="none"/>
        </w:rPr>
        <w:t>万元</w:t>
      </w:r>
      <w:r>
        <w:rPr>
          <w:rFonts w:hint="eastAsia" w:ascii="仿宋_GB2312" w:eastAsia="仿宋_GB2312" w:cs="DengXian-Regular"/>
          <w:sz w:val="32"/>
          <w:szCs w:val="32"/>
          <w:highlight w:val="none"/>
        </w:rPr>
        <w:t>，</w:t>
      </w:r>
      <w:r>
        <w:rPr>
          <w:rFonts w:eastAsia="仿宋_GB2312"/>
          <w:sz w:val="32"/>
          <w:szCs w:val="32"/>
          <w:highlight w:val="none"/>
        </w:rPr>
        <w:t>降低</w:t>
      </w:r>
      <w:r>
        <w:rPr>
          <w:rFonts w:hint="eastAsia" w:eastAsia="仿宋_GB2312"/>
          <w:sz w:val="32"/>
          <w:szCs w:val="32"/>
          <w:highlight w:val="none"/>
          <w:lang w:val="en-US" w:eastAsia="zh-CN"/>
        </w:rPr>
        <w:t>15.75</w:t>
      </w:r>
      <w:r>
        <w:rPr>
          <w:rFonts w:eastAsia="仿宋_GB2312"/>
          <w:sz w:val="32"/>
          <w:szCs w:val="32"/>
          <w:highlight w:val="none"/>
        </w:rPr>
        <w:t>%</w:t>
      </w:r>
      <w:r>
        <w:rPr>
          <w:rFonts w:hint="eastAsia" w:ascii="仿宋_GB2312" w:eastAsia="仿宋_GB2312" w:cs="DengXian-Regular"/>
          <w:sz w:val="32"/>
          <w:szCs w:val="32"/>
          <w:highlight w:val="none"/>
        </w:rPr>
        <w:t>,主要是</w:t>
      </w:r>
      <w:r>
        <w:rPr>
          <w:rFonts w:hint="eastAsia" w:ascii="仿宋_GB2312" w:eastAsia="仿宋_GB2312" w:cs="DengXian-Regular"/>
          <w:sz w:val="32"/>
          <w:szCs w:val="32"/>
        </w:rPr>
        <w:t>厉行节约，压缩经费</w:t>
      </w:r>
      <w:r>
        <w:rPr>
          <w:rFonts w:hint="eastAsia" w:ascii="仿宋_GB2312" w:eastAsia="仿宋_GB2312" w:cs="DengXian-Regular"/>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年度决算增加</w:t>
      </w:r>
      <w:r>
        <w:rPr>
          <w:rFonts w:hint="eastAsia" w:eastAsia="仿宋_GB2312"/>
          <w:sz w:val="32"/>
          <w:szCs w:val="32"/>
          <w:highlight w:val="none"/>
          <w:lang w:val="en-US" w:eastAsia="zh-CN"/>
        </w:rPr>
        <w:t>0.53</w:t>
      </w:r>
      <w:r>
        <w:rPr>
          <w:rFonts w:eastAsia="仿宋_GB2312"/>
          <w:sz w:val="32"/>
          <w:szCs w:val="32"/>
          <w:highlight w:val="none"/>
        </w:rPr>
        <w:t>万元，增长</w:t>
      </w:r>
      <w:r>
        <w:rPr>
          <w:rFonts w:hint="eastAsia" w:eastAsia="仿宋_GB2312"/>
          <w:sz w:val="32"/>
          <w:szCs w:val="32"/>
          <w:highlight w:val="none"/>
          <w:lang w:val="en-US" w:eastAsia="zh-CN"/>
        </w:rPr>
        <w:t>18.66</w:t>
      </w:r>
      <w:r>
        <w:rPr>
          <w:rFonts w:eastAsia="仿宋_GB2312"/>
          <w:sz w:val="32"/>
          <w:szCs w:val="32"/>
          <w:highlight w:val="none"/>
        </w:rPr>
        <w:t>%，主要是</w:t>
      </w:r>
      <w:r>
        <w:rPr>
          <w:rFonts w:hint="eastAsia" w:eastAsia="仿宋_GB2312"/>
          <w:sz w:val="32"/>
          <w:szCs w:val="32"/>
          <w:lang w:val="en-US" w:eastAsia="zh-CN"/>
        </w:rPr>
        <w:t>2018年上级主管部门培训、会议频繁，统计调查入户、入企业的力度加大</w:t>
      </w:r>
      <w:r>
        <w:rPr>
          <w:rFonts w:eastAsia="仿宋_GB2312"/>
          <w:sz w:val="32"/>
          <w:szCs w:val="32"/>
          <w:highlight w:val="none"/>
        </w:rPr>
        <w:t>。</w:t>
      </w:r>
      <w:r>
        <w:rPr>
          <w:rFonts w:eastAsia="仿宋_GB2312"/>
          <w:b/>
          <w:bCs/>
          <w:sz w:val="32"/>
          <w:szCs w:val="32"/>
          <w:highlight w:val="none"/>
        </w:rPr>
        <w:t>其中：</w:t>
      </w:r>
    </w:p>
    <w:p>
      <w:pPr>
        <w:numPr>
          <w:ilvl w:val="0"/>
          <w:numId w:val="0"/>
        </w:numPr>
        <w:adjustRightInd w:val="0"/>
        <w:snapToGrid w:val="0"/>
        <w:spacing w:line="584" w:lineRule="exact"/>
        <w:ind w:firstLine="643" w:firstLineChars="200"/>
        <w:rPr>
          <w:rFonts w:hint="eastAsia" w:eastAsia="仿宋_GB2312"/>
          <w:sz w:val="32"/>
          <w:szCs w:val="32"/>
          <w:lang w:val="en-US" w:eastAsia="zh-CN"/>
        </w:rPr>
      </w:pPr>
      <w:r>
        <w:rPr>
          <w:rFonts w:eastAsia="仿宋_GB2312"/>
          <w:b/>
          <w:sz w:val="32"/>
          <w:szCs w:val="32"/>
          <w:highlight w:val="none"/>
        </w:rPr>
        <w:t>公务用车购置费支出</w:t>
      </w:r>
      <w:r>
        <w:rPr>
          <w:rFonts w:hint="eastAsia" w:eastAsia="仿宋_GB2312"/>
          <w:b/>
          <w:sz w:val="32"/>
          <w:szCs w:val="32"/>
          <w:highlight w:val="none"/>
          <w:lang w:val="en-US" w:eastAsia="zh-CN"/>
        </w:rPr>
        <w:t>0</w:t>
      </w:r>
      <w:r>
        <w:rPr>
          <w:rFonts w:eastAsia="仿宋_GB2312"/>
          <w:b/>
          <w:sz w:val="32"/>
          <w:szCs w:val="32"/>
          <w:highlight w:val="none"/>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bookmarkStart w:id="0" w:name="_GoBack"/>
      <w:bookmarkEnd w:id="0"/>
      <w:r>
        <w:rPr>
          <w:rFonts w:eastAsia="仿宋_GB2312"/>
          <w:sz w:val="32"/>
          <w:szCs w:val="32"/>
        </w:rPr>
        <w:t>辆。</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年度</w:t>
      </w:r>
      <w:r>
        <w:rPr>
          <w:rFonts w:eastAsia="仿宋_GB2312"/>
          <w:color w:val="000000"/>
          <w:sz w:val="32"/>
          <w:szCs w:val="32"/>
          <w:highlight w:val="none"/>
        </w:rPr>
        <w:t>未发生“公务用车购置”经费支出</w:t>
      </w:r>
      <w:r>
        <w:rPr>
          <w:rFonts w:hint="eastAsia" w:eastAsia="仿宋_GB2312"/>
          <w:color w:val="000000"/>
          <w:sz w:val="32"/>
          <w:szCs w:val="32"/>
          <w:highlight w:val="none"/>
          <w:lang w:eastAsia="zh-CN"/>
        </w:rPr>
        <w:t>，</w:t>
      </w:r>
      <w:r>
        <w:rPr>
          <w:rFonts w:hint="eastAsia" w:eastAsia="仿宋_GB2312"/>
          <w:sz w:val="32"/>
          <w:szCs w:val="32"/>
          <w:highlight w:val="none"/>
          <w:lang w:eastAsia="zh-CN"/>
        </w:rPr>
        <w:t>较年初预算无增减变化，较</w:t>
      </w:r>
      <w:r>
        <w:rPr>
          <w:rFonts w:hint="eastAsia" w:eastAsia="仿宋_GB2312"/>
          <w:sz w:val="32"/>
          <w:szCs w:val="32"/>
          <w:highlight w:val="none"/>
          <w:lang w:val="en-US" w:eastAsia="zh-CN"/>
        </w:rPr>
        <w:t>2017年度决</w:t>
      </w:r>
      <w:r>
        <w:rPr>
          <w:rFonts w:hint="eastAsia" w:eastAsia="仿宋_GB2312"/>
          <w:sz w:val="32"/>
          <w:szCs w:val="32"/>
          <w:lang w:val="en-US" w:eastAsia="zh-CN"/>
        </w:rPr>
        <w:t>算无增减变化。</w:t>
      </w:r>
    </w:p>
    <w:p>
      <w:pPr>
        <w:adjustRightInd w:val="0"/>
        <w:snapToGrid w:val="0"/>
        <w:spacing w:line="584" w:lineRule="exact"/>
        <w:ind w:firstLine="643" w:firstLineChars="200"/>
        <w:rPr>
          <w:rFonts w:eastAsia="仿宋_GB2312"/>
          <w:sz w:val="32"/>
          <w:szCs w:val="32"/>
          <w:highlight w:val="none"/>
        </w:rPr>
      </w:pPr>
      <w:r>
        <w:rPr>
          <w:rFonts w:eastAsia="仿宋_GB2312"/>
          <w:b/>
          <w:sz w:val="32"/>
          <w:szCs w:val="32"/>
        </w:rPr>
        <w:t>公务用车运行维护费支出</w:t>
      </w:r>
      <w:r>
        <w:rPr>
          <w:rFonts w:hint="eastAsia" w:eastAsia="仿宋_GB2312"/>
          <w:b/>
          <w:sz w:val="32"/>
          <w:szCs w:val="32"/>
          <w:lang w:val="en-US" w:eastAsia="zh-CN"/>
        </w:rPr>
        <w:t>3.37</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0.63</w:t>
      </w:r>
      <w:r>
        <w:rPr>
          <w:rFonts w:eastAsia="仿宋_GB2312"/>
          <w:sz w:val="32"/>
          <w:szCs w:val="32"/>
        </w:rPr>
        <w:t>万元，降低</w:t>
      </w:r>
      <w:r>
        <w:rPr>
          <w:rFonts w:hint="eastAsia" w:eastAsia="仿宋_GB2312"/>
          <w:sz w:val="32"/>
          <w:szCs w:val="32"/>
          <w:lang w:val="en-US" w:eastAsia="zh-CN"/>
        </w:rPr>
        <w:t>15.75</w:t>
      </w:r>
      <w:r>
        <w:rPr>
          <w:rFonts w:eastAsia="仿宋_GB2312"/>
          <w:sz w:val="32"/>
          <w:szCs w:val="32"/>
        </w:rPr>
        <w:t>%，</w:t>
      </w:r>
      <w:r>
        <w:rPr>
          <w:rFonts w:eastAsia="仿宋_GB2312"/>
          <w:color w:val="auto"/>
          <w:sz w:val="32"/>
          <w:szCs w:val="32"/>
        </w:rPr>
        <w:t>主要是</w:t>
      </w:r>
      <w:r>
        <w:rPr>
          <w:rFonts w:hint="eastAsia" w:ascii="仿宋_GB2312" w:eastAsia="仿宋_GB2312" w:cs="DengXian-Regular"/>
          <w:color w:val="auto"/>
          <w:sz w:val="32"/>
          <w:szCs w:val="32"/>
        </w:rPr>
        <w:t>厉行节约，压</w:t>
      </w:r>
      <w:r>
        <w:rPr>
          <w:rFonts w:hint="eastAsia" w:ascii="仿宋_GB2312" w:eastAsia="仿宋_GB2312" w:cs="DengXian-Regular"/>
          <w:sz w:val="32"/>
          <w:szCs w:val="32"/>
        </w:rPr>
        <w:t>缩经费</w:t>
      </w:r>
      <w:r>
        <w:rPr>
          <w:rFonts w:hint="eastAsia" w:ascii="仿宋_GB2312" w:eastAsia="仿宋_GB2312" w:cs="DengXian-Regular"/>
          <w:sz w:val="32"/>
          <w:szCs w:val="32"/>
          <w:lang w:eastAsia="zh-CN"/>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0.53</w:t>
      </w:r>
      <w:r>
        <w:rPr>
          <w:rFonts w:eastAsia="仿宋_GB2312"/>
          <w:sz w:val="32"/>
          <w:szCs w:val="32"/>
        </w:rPr>
        <w:t>万元，增长</w:t>
      </w:r>
      <w:r>
        <w:rPr>
          <w:rFonts w:hint="eastAsia" w:eastAsia="仿宋_GB2312"/>
          <w:sz w:val="32"/>
          <w:szCs w:val="32"/>
          <w:lang w:val="en-US" w:eastAsia="zh-CN"/>
        </w:rPr>
        <w:t>18.66</w:t>
      </w:r>
      <w:r>
        <w:rPr>
          <w:rFonts w:eastAsia="仿宋_GB2312"/>
          <w:sz w:val="32"/>
          <w:szCs w:val="32"/>
        </w:rPr>
        <w:t>%，主要是</w:t>
      </w:r>
      <w:r>
        <w:rPr>
          <w:rFonts w:hint="eastAsia" w:eastAsia="仿宋_GB2312"/>
          <w:sz w:val="32"/>
          <w:szCs w:val="32"/>
          <w:lang w:val="en-US" w:eastAsia="zh-CN"/>
        </w:rPr>
        <w:t>2018年上级主管部门培训、会议频繁，统计调查入户、入企业的力度加大</w:t>
      </w:r>
      <w:r>
        <w:rPr>
          <w:rFonts w:eastAsia="仿宋_GB2312"/>
          <w:sz w:val="32"/>
          <w:szCs w:val="32"/>
          <w:highlight w:val="none"/>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0.52</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color w:val="auto"/>
          <w:sz w:val="32"/>
          <w:szCs w:val="32"/>
          <w:highlight w:val="none"/>
          <w:lang w:val="en-US" w:eastAsia="zh-CN"/>
        </w:rPr>
        <w:t>7</w:t>
      </w:r>
      <w:r>
        <w:rPr>
          <w:rFonts w:eastAsia="仿宋_GB2312"/>
          <w:color w:val="auto"/>
          <w:sz w:val="32"/>
          <w:szCs w:val="32"/>
          <w:highlight w:val="none"/>
        </w:rPr>
        <w:t>批次、</w:t>
      </w:r>
      <w:r>
        <w:rPr>
          <w:rFonts w:hint="eastAsia" w:eastAsia="仿宋_GB2312"/>
          <w:color w:val="auto"/>
          <w:sz w:val="32"/>
          <w:szCs w:val="32"/>
          <w:highlight w:val="none"/>
          <w:lang w:val="en-US" w:eastAsia="zh-CN"/>
        </w:rPr>
        <w:t>48</w:t>
      </w:r>
      <w:r>
        <w:rPr>
          <w:rFonts w:eastAsia="仿宋_GB2312"/>
          <w:color w:val="auto"/>
          <w:sz w:val="32"/>
          <w:szCs w:val="32"/>
          <w:highlight w:val="none"/>
        </w:rPr>
        <w:t>人次。</w:t>
      </w:r>
      <w:r>
        <w:rPr>
          <w:rFonts w:eastAsia="仿宋_GB2312"/>
          <w:sz w:val="32"/>
          <w:szCs w:val="32"/>
        </w:rPr>
        <w:t>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0.45</w:t>
      </w:r>
      <w:r>
        <w:rPr>
          <w:rFonts w:eastAsia="仿宋_GB2312"/>
          <w:sz w:val="32"/>
          <w:szCs w:val="32"/>
        </w:rPr>
        <w:t>万元，降低</w:t>
      </w:r>
      <w:r>
        <w:rPr>
          <w:rFonts w:hint="eastAsia" w:eastAsia="仿宋_GB2312"/>
          <w:sz w:val="32"/>
          <w:szCs w:val="32"/>
          <w:lang w:val="en-US" w:eastAsia="zh-CN"/>
        </w:rPr>
        <w:t>46.39</w:t>
      </w:r>
      <w:r>
        <w:rPr>
          <w:rFonts w:eastAsia="仿宋_GB2312"/>
          <w:sz w:val="32"/>
          <w:szCs w:val="32"/>
        </w:rPr>
        <w:t>%，</w:t>
      </w:r>
      <w:r>
        <w:rPr>
          <w:rFonts w:eastAsia="仿宋_GB2312"/>
          <w:color w:val="auto"/>
          <w:sz w:val="32"/>
          <w:szCs w:val="32"/>
        </w:rPr>
        <w:t>主要是</w:t>
      </w:r>
      <w:r>
        <w:rPr>
          <w:rFonts w:ascii="仿宋_GB2312" w:hAnsi="宋体" w:eastAsia="仿宋_GB2312" w:cs="仿宋_GB2312"/>
          <w:i w:val="0"/>
          <w:caps w:val="0"/>
          <w:color w:val="auto"/>
          <w:spacing w:val="0"/>
          <w:sz w:val="33"/>
          <w:szCs w:val="33"/>
          <w:shd w:val="clear" w:fill="FFFFFF"/>
        </w:rPr>
        <w:t>加强了对公务接待的管理，严格控制公务接待范围和开支标准，减少接待费支出</w:t>
      </w:r>
      <w:r>
        <w:rPr>
          <w:rFonts w:hint="eastAsia" w:ascii="仿宋_GB2312" w:hAnsi="宋体" w:eastAsia="仿宋_GB2312" w:cs="仿宋_GB2312"/>
          <w:i w:val="0"/>
          <w:caps w:val="0"/>
          <w:color w:val="auto"/>
          <w:spacing w:val="0"/>
          <w:sz w:val="33"/>
          <w:szCs w:val="33"/>
          <w:shd w:val="clear" w:fill="FFFFFF"/>
          <w:lang w:eastAsia="zh-CN"/>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0.08</w:t>
      </w:r>
      <w:r>
        <w:rPr>
          <w:rFonts w:eastAsia="仿宋_GB2312"/>
          <w:sz w:val="32"/>
          <w:szCs w:val="32"/>
        </w:rPr>
        <w:t>万元，增长</w:t>
      </w:r>
      <w:r>
        <w:rPr>
          <w:rFonts w:hint="eastAsia" w:eastAsia="仿宋_GB2312"/>
          <w:sz w:val="32"/>
          <w:szCs w:val="32"/>
          <w:lang w:val="en-US" w:eastAsia="zh-CN"/>
        </w:rPr>
        <w:t>18.18</w:t>
      </w:r>
      <w:r>
        <w:rPr>
          <w:rFonts w:eastAsia="仿宋_GB2312"/>
          <w:sz w:val="32"/>
          <w:szCs w:val="32"/>
        </w:rPr>
        <w:t>%，主要是</w:t>
      </w:r>
      <w:r>
        <w:rPr>
          <w:rFonts w:hint="eastAsia" w:eastAsia="仿宋_GB2312"/>
          <w:sz w:val="32"/>
          <w:szCs w:val="32"/>
          <w:lang w:val="en-US" w:eastAsia="zh-CN"/>
        </w:rPr>
        <w:t>上级督导、检查工作较上年有所增加</w:t>
      </w:r>
      <w:r>
        <w:rPr>
          <w:rFonts w:hint="eastAsia" w:eastAsia="仿宋_GB2312"/>
          <w:sz w:val="32"/>
          <w:szCs w:val="32"/>
          <w:lang w:eastAsia="zh-CN"/>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3" w:firstLineChars="200"/>
        <w:rPr>
          <w:rFonts w:hint="eastAsia" w:ascii="仿宋_GB2312" w:eastAsia="仿宋_GB2312" w:cs="DengXian-Regular"/>
          <w:b/>
          <w:bCs/>
          <w:sz w:val="32"/>
          <w:szCs w:val="32"/>
        </w:rPr>
      </w:pPr>
      <w:r>
        <w:rPr>
          <w:rFonts w:hint="eastAsia" w:ascii="仿宋_GB2312" w:eastAsia="仿宋_GB2312" w:cs="DengXian-Regular"/>
          <w:b/>
          <w:bCs/>
          <w:sz w:val="32"/>
          <w:szCs w:val="32"/>
        </w:rPr>
        <w:t>（一）预算绩效管理工作开展情况。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 w:hAnsi="仿宋" w:eastAsia="仿宋" w:cs="仿宋"/>
          <w:sz w:val="32"/>
          <w:szCs w:val="32"/>
          <w:lang w:val="en-US" w:eastAsia="zh-CN"/>
        </w:rPr>
        <w:t>2018年度，我单位以绩效目标实现为导向，进一步加强制度建设，提升自评质量，预算进行管理取得新成效。一是抓好绩效目标编制，及时报送绩效目标；二是探索绩效跟踪监控，要求加强过程监控；三是深入开展财政支出绩效评价，对专项资金实施绩效自评和项目核查，在此基础上形成自评报告。四是健全绩效管理工作机制，明确责任分工，努力提高了绩效管理工作水平。</w:t>
      </w:r>
    </w:p>
    <w:p>
      <w:pPr>
        <w:adjustRightInd w:val="0"/>
        <w:snapToGrid w:val="0"/>
        <w:spacing w:after="0" w:line="580" w:lineRule="exact"/>
        <w:ind w:firstLine="643" w:firstLineChars="200"/>
        <w:rPr>
          <w:rFonts w:hint="eastAsia" w:ascii="仿宋_GB2312" w:eastAsia="仿宋_GB2312" w:cs="DengXian-Regular"/>
          <w:b/>
          <w:bCs/>
          <w:sz w:val="32"/>
          <w:szCs w:val="32"/>
          <w:highlight w:val="yellow"/>
        </w:rPr>
      </w:pPr>
      <w:r>
        <w:rPr>
          <w:rFonts w:hint="eastAsia" w:ascii="仿宋_GB2312" w:eastAsia="仿宋_GB2312" w:cs="DengXian-Regular"/>
          <w:b/>
          <w:bCs/>
          <w:sz w:val="32"/>
          <w:szCs w:val="32"/>
        </w:rPr>
        <w:t>（二）项目绩效自评结果。</w:t>
      </w:r>
    </w:p>
    <w:p>
      <w:pPr>
        <w:numPr>
          <w:ilvl w:val="0"/>
          <w:numId w:val="0"/>
        </w:numPr>
        <w:ind w:firstLine="640" w:firstLineChars="200"/>
        <w:jc w:val="left"/>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val="en-US"/>
        </w:rPr>
        <w:t>201</w:t>
      </w:r>
      <w:r>
        <w:rPr>
          <w:rFonts w:hint="eastAsia" w:ascii="仿宋" w:hAnsi="仿宋" w:eastAsia="仿宋" w:cs="仿宋"/>
          <w:i w:val="0"/>
          <w:caps w:val="0"/>
          <w:color w:val="000000"/>
          <w:spacing w:val="0"/>
          <w:sz w:val="32"/>
          <w:szCs w:val="32"/>
          <w:shd w:val="clear" w:color="auto" w:fill="FFFFFF"/>
          <w:lang w:val="en-US" w:eastAsia="zh-CN"/>
        </w:rPr>
        <w:t>8</w:t>
      </w:r>
      <w:r>
        <w:rPr>
          <w:rFonts w:hint="eastAsia" w:ascii="仿宋" w:hAnsi="仿宋" w:eastAsia="仿宋" w:cs="仿宋"/>
          <w:i w:val="0"/>
          <w:caps w:val="0"/>
          <w:color w:val="000000"/>
          <w:spacing w:val="0"/>
          <w:sz w:val="32"/>
          <w:szCs w:val="32"/>
          <w:shd w:val="clear" w:color="auto" w:fill="FFFFFF"/>
        </w:rPr>
        <w:t>年，按照</w:t>
      </w:r>
      <w:r>
        <w:rPr>
          <w:rFonts w:hint="eastAsia" w:ascii="仿宋" w:hAnsi="仿宋" w:eastAsia="仿宋" w:cs="仿宋"/>
          <w:i w:val="0"/>
          <w:caps w:val="0"/>
          <w:color w:val="000000"/>
          <w:spacing w:val="0"/>
          <w:sz w:val="32"/>
          <w:szCs w:val="32"/>
          <w:shd w:val="clear" w:color="auto" w:fill="FFFFFF"/>
          <w:lang w:val="en-US"/>
        </w:rPr>
        <w:t>“</w:t>
      </w:r>
      <w:r>
        <w:rPr>
          <w:rFonts w:hint="eastAsia" w:ascii="仿宋" w:hAnsi="仿宋" w:eastAsia="仿宋" w:cs="仿宋"/>
          <w:i w:val="0"/>
          <w:caps w:val="0"/>
          <w:color w:val="000000"/>
          <w:spacing w:val="0"/>
          <w:sz w:val="32"/>
          <w:szCs w:val="32"/>
          <w:shd w:val="clear" w:color="auto" w:fill="FFFFFF"/>
        </w:rPr>
        <w:t>资金量较大、代表性较强</w:t>
      </w:r>
      <w:r>
        <w:rPr>
          <w:rFonts w:hint="eastAsia" w:ascii="仿宋" w:hAnsi="仿宋" w:eastAsia="仿宋" w:cs="仿宋"/>
          <w:i w:val="0"/>
          <w:caps w:val="0"/>
          <w:color w:val="000000"/>
          <w:spacing w:val="0"/>
          <w:sz w:val="32"/>
          <w:szCs w:val="32"/>
          <w:shd w:val="clear" w:color="auto" w:fill="FFFFFF"/>
          <w:lang w:val="en-US"/>
        </w:rPr>
        <w:t>”</w:t>
      </w:r>
      <w:r>
        <w:rPr>
          <w:rFonts w:hint="eastAsia" w:ascii="仿宋" w:hAnsi="仿宋" w:eastAsia="仿宋" w:cs="仿宋"/>
          <w:i w:val="0"/>
          <w:caps w:val="0"/>
          <w:color w:val="000000"/>
          <w:spacing w:val="0"/>
          <w:sz w:val="32"/>
          <w:szCs w:val="32"/>
          <w:shd w:val="clear" w:color="auto" w:fill="FFFFFF"/>
        </w:rPr>
        <w:t>的原则，从本</w:t>
      </w:r>
      <w:r>
        <w:rPr>
          <w:rFonts w:hint="eastAsia" w:ascii="仿宋" w:hAnsi="仿宋" w:eastAsia="仿宋" w:cs="仿宋"/>
          <w:i w:val="0"/>
          <w:caps w:val="0"/>
          <w:color w:val="000000"/>
          <w:spacing w:val="0"/>
          <w:sz w:val="32"/>
          <w:szCs w:val="32"/>
          <w:shd w:val="clear" w:color="auto" w:fill="FFFFFF"/>
          <w:lang w:eastAsia="zh-CN"/>
        </w:rPr>
        <w:t>部门</w:t>
      </w:r>
      <w:r>
        <w:rPr>
          <w:rFonts w:hint="eastAsia" w:ascii="仿宋" w:hAnsi="仿宋" w:eastAsia="仿宋" w:cs="仿宋"/>
          <w:i w:val="0"/>
          <w:caps w:val="0"/>
          <w:color w:val="000000"/>
          <w:spacing w:val="0"/>
          <w:sz w:val="32"/>
          <w:szCs w:val="32"/>
          <w:shd w:val="clear" w:color="auto" w:fill="FFFFFF"/>
        </w:rPr>
        <w:t>预算安排项目中选择</w:t>
      </w:r>
      <w:r>
        <w:rPr>
          <w:rFonts w:hint="eastAsia" w:ascii="仿宋" w:hAnsi="仿宋" w:eastAsia="仿宋" w:cs="仿宋"/>
          <w:i w:val="0"/>
          <w:caps w:val="0"/>
          <w:color w:val="000000"/>
          <w:spacing w:val="0"/>
          <w:sz w:val="32"/>
          <w:szCs w:val="32"/>
          <w:shd w:val="clear" w:color="auto" w:fill="FFFFFF"/>
          <w:lang w:eastAsia="zh-CN"/>
        </w:rPr>
        <w:t>专项统计调查</w:t>
      </w:r>
      <w:r>
        <w:rPr>
          <w:rFonts w:hint="eastAsia" w:ascii="仿宋" w:hAnsi="仿宋" w:eastAsia="仿宋" w:cs="仿宋"/>
          <w:i w:val="0"/>
          <w:caps w:val="0"/>
          <w:color w:val="000000"/>
          <w:spacing w:val="0"/>
          <w:sz w:val="32"/>
          <w:szCs w:val="32"/>
          <w:shd w:val="clear" w:color="auto" w:fill="FFFFFF"/>
        </w:rPr>
        <w:t>经费项目开展支出绩效评价工作，评价资金</w:t>
      </w:r>
      <w:r>
        <w:rPr>
          <w:rFonts w:hint="eastAsia" w:ascii="仿宋" w:hAnsi="仿宋" w:eastAsia="仿宋" w:cs="仿宋"/>
          <w:i w:val="0"/>
          <w:caps w:val="0"/>
          <w:color w:val="000000"/>
          <w:spacing w:val="0"/>
          <w:sz w:val="32"/>
          <w:szCs w:val="32"/>
          <w:shd w:val="clear" w:color="auto" w:fill="FFFFFF"/>
          <w:lang w:val="en-US" w:eastAsia="zh-CN"/>
        </w:rPr>
        <w:t>20</w:t>
      </w:r>
      <w:r>
        <w:rPr>
          <w:rFonts w:hint="eastAsia" w:ascii="仿宋" w:hAnsi="仿宋" w:eastAsia="仿宋" w:cs="仿宋"/>
          <w:i w:val="0"/>
          <w:caps w:val="0"/>
          <w:color w:val="000000"/>
          <w:spacing w:val="0"/>
          <w:sz w:val="32"/>
          <w:szCs w:val="32"/>
          <w:shd w:val="clear" w:color="auto" w:fill="FFFFFF"/>
        </w:rPr>
        <w:t>万元。从评价结果看，</w:t>
      </w:r>
      <w:r>
        <w:rPr>
          <w:rFonts w:hint="eastAsia" w:ascii="仿宋" w:hAnsi="仿宋" w:eastAsia="仿宋" w:cs="仿宋"/>
          <w:i w:val="0"/>
          <w:caps w:val="0"/>
          <w:color w:val="auto"/>
          <w:spacing w:val="0"/>
          <w:sz w:val="32"/>
          <w:szCs w:val="32"/>
          <w:shd w:val="clear" w:color="auto" w:fill="FFFFFF"/>
          <w:lang w:val="en-US" w:eastAsia="zh-CN"/>
        </w:rPr>
        <w:t>这个</w:t>
      </w:r>
      <w:r>
        <w:rPr>
          <w:rFonts w:hint="eastAsia" w:ascii="仿宋" w:hAnsi="仿宋" w:eastAsia="仿宋" w:cs="仿宋"/>
          <w:i w:val="0"/>
          <w:caps w:val="0"/>
          <w:color w:val="auto"/>
          <w:spacing w:val="0"/>
          <w:sz w:val="32"/>
          <w:szCs w:val="32"/>
          <w:shd w:val="clear" w:color="auto" w:fill="FFFFFF"/>
        </w:rPr>
        <w:t>项目</w:t>
      </w:r>
      <w:r>
        <w:rPr>
          <w:rFonts w:hint="eastAsia" w:ascii="仿宋" w:hAnsi="仿宋" w:eastAsia="仿宋" w:cs="仿宋"/>
          <w:i w:val="0"/>
          <w:caps w:val="0"/>
          <w:color w:val="auto"/>
          <w:spacing w:val="0"/>
          <w:sz w:val="32"/>
          <w:szCs w:val="32"/>
          <w:shd w:val="clear" w:color="auto" w:fill="FFFFFF"/>
          <w:lang w:eastAsia="zh-CN"/>
        </w:rPr>
        <w:t>综合评价为良好</w:t>
      </w:r>
      <w:r>
        <w:rPr>
          <w:rFonts w:hint="eastAsia" w:ascii="仿宋" w:hAnsi="仿宋" w:eastAsia="仿宋" w:cs="仿宋"/>
          <w:i w:val="0"/>
          <w:caps w:val="0"/>
          <w:color w:val="auto"/>
          <w:spacing w:val="0"/>
          <w:sz w:val="32"/>
          <w:szCs w:val="32"/>
          <w:shd w:val="clear" w:color="auto" w:fill="FFFFFF"/>
        </w:rPr>
        <w:t>。被评价项目总体绩效目标明确，决</w:t>
      </w:r>
      <w:r>
        <w:rPr>
          <w:rFonts w:hint="eastAsia" w:ascii="仿宋" w:hAnsi="仿宋" w:eastAsia="仿宋" w:cs="仿宋"/>
          <w:i w:val="0"/>
          <w:caps w:val="0"/>
          <w:color w:val="000000"/>
          <w:spacing w:val="0"/>
          <w:sz w:val="32"/>
          <w:szCs w:val="32"/>
          <w:shd w:val="clear" w:color="auto" w:fill="FFFFFF"/>
        </w:rPr>
        <w:t>策依据充分，资金分配科学合理，项目管理较规范，项目完成</w:t>
      </w:r>
      <w:r>
        <w:rPr>
          <w:rFonts w:hint="eastAsia" w:ascii="仿宋" w:hAnsi="仿宋" w:eastAsia="仿宋" w:cs="仿宋"/>
          <w:i w:val="0"/>
          <w:caps w:val="0"/>
          <w:color w:val="000000"/>
          <w:spacing w:val="0"/>
          <w:sz w:val="32"/>
          <w:szCs w:val="32"/>
          <w:shd w:val="clear" w:color="auto" w:fill="FFFFFF"/>
          <w:lang w:eastAsia="zh-CN"/>
        </w:rPr>
        <w:t>良</w:t>
      </w:r>
      <w:r>
        <w:rPr>
          <w:rFonts w:hint="eastAsia" w:ascii="仿宋" w:hAnsi="仿宋" w:eastAsia="仿宋" w:cs="仿宋"/>
          <w:i w:val="0"/>
          <w:caps w:val="0"/>
          <w:color w:val="000000"/>
          <w:spacing w:val="0"/>
          <w:sz w:val="32"/>
          <w:szCs w:val="32"/>
          <w:shd w:val="clear" w:color="auto" w:fill="FFFFFF"/>
        </w:rPr>
        <w:t>好，</w:t>
      </w:r>
      <w:r>
        <w:rPr>
          <w:rFonts w:hint="eastAsia" w:ascii="仿宋" w:hAnsi="仿宋" w:eastAsia="仿宋" w:cs="仿宋"/>
          <w:i w:val="0"/>
          <w:caps w:val="0"/>
          <w:color w:val="000000"/>
          <w:spacing w:val="0"/>
          <w:sz w:val="32"/>
          <w:szCs w:val="32"/>
          <w:shd w:val="clear" w:color="auto" w:fill="FFFFFF"/>
          <w:lang w:eastAsia="zh-CN"/>
        </w:rPr>
        <w:t>基本</w:t>
      </w:r>
      <w:r>
        <w:rPr>
          <w:rFonts w:hint="eastAsia" w:ascii="仿宋" w:hAnsi="仿宋" w:eastAsia="仿宋" w:cs="仿宋"/>
          <w:i w:val="0"/>
          <w:caps w:val="0"/>
          <w:color w:val="000000"/>
          <w:spacing w:val="0"/>
          <w:sz w:val="32"/>
          <w:szCs w:val="32"/>
          <w:shd w:val="clear" w:color="auto" w:fill="FFFFFF"/>
        </w:rPr>
        <w:t>达到了预期效果。</w:t>
      </w:r>
    </w:p>
    <w:p>
      <w:pPr>
        <w:numPr>
          <w:ilvl w:val="0"/>
          <w:numId w:val="0"/>
        </w:numPr>
        <w:ind w:firstLine="643" w:firstLineChars="200"/>
        <w:jc w:val="left"/>
        <w:rPr>
          <w:rFonts w:ascii="仿宋_GB2312" w:eastAsia="仿宋_GB2312" w:cs="DengXian-Regular"/>
          <w:b/>
          <w:bCs/>
          <w:sz w:val="32"/>
          <w:szCs w:val="32"/>
        </w:rPr>
      </w:pPr>
      <w:r>
        <w:rPr>
          <w:rFonts w:hint="eastAsia" w:ascii="仿宋_GB2312" w:eastAsia="仿宋_GB2312" w:cs="DengXian-Regular"/>
          <w:b/>
          <w:bCs/>
          <w:sz w:val="32"/>
          <w:szCs w:val="32"/>
        </w:rPr>
        <w:t>（三）重点项目绩效评价结果。</w:t>
      </w:r>
    </w:p>
    <w:p>
      <w:pPr>
        <w:keepNext w:val="0"/>
        <w:keepLines w:val="0"/>
        <w:pageBreakBefore w:val="0"/>
        <w:kinsoku/>
        <w:overflowPunct/>
        <w:topLinePunct w:val="0"/>
        <w:autoSpaceDE/>
        <w:autoSpaceDN/>
        <w:bidi w:val="0"/>
        <w:adjustRightInd/>
        <w:snapToGrid/>
        <w:spacing w:line="600" w:lineRule="exact"/>
        <w:ind w:right="0" w:rightChars="0" w:firstLine="643" w:firstLineChars="200"/>
        <w:textAlignment w:val="auto"/>
        <w:outlineLvl w:val="9"/>
        <w:rPr>
          <w:rFonts w:hint="eastAsia" w:ascii="仿宋" w:hAnsi="仿宋" w:eastAsia="仿宋" w:cs="仿宋"/>
          <w:color w:val="auto"/>
          <w:sz w:val="32"/>
          <w:szCs w:val="32"/>
        </w:rPr>
      </w:pPr>
      <w:r>
        <w:rPr>
          <w:rFonts w:hint="eastAsia" w:ascii="宋体" w:hAnsi="宋体" w:eastAsia="宋体" w:cs="宋体"/>
          <w:b/>
          <w:bCs/>
          <w:color w:val="auto"/>
          <w:sz w:val="32"/>
          <w:szCs w:val="32"/>
          <w:lang w:val="en-US" w:eastAsia="zh-CN"/>
        </w:rPr>
        <w:t>1</w:t>
      </w:r>
      <w:r>
        <w:rPr>
          <w:rFonts w:hint="eastAsia" w:ascii="宋体" w:hAnsi="宋体" w:eastAsia="宋体" w:cs="宋体"/>
          <w:b/>
          <w:bCs/>
          <w:color w:val="auto"/>
          <w:sz w:val="32"/>
          <w:szCs w:val="32"/>
        </w:rPr>
        <w:t>、项目概况</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基本情况</w:t>
      </w:r>
      <w:r>
        <w:rPr>
          <w:rFonts w:hint="eastAsia" w:ascii="仿宋" w:hAnsi="仿宋" w:eastAsia="仿宋" w:cs="仿宋"/>
          <w:color w:val="auto"/>
          <w:sz w:val="32"/>
          <w:szCs w:val="32"/>
          <w:lang w:val="en-US" w:eastAsia="zh-CN"/>
        </w:rPr>
        <w:t>:专项统计调查经费预算安排20万元，比2017年预算减少2万元。</w:t>
      </w:r>
      <w:r>
        <w:rPr>
          <w:rFonts w:hint="eastAsia" w:ascii="仿宋" w:hAnsi="仿宋" w:eastAsia="仿宋" w:cs="仿宋"/>
          <w:color w:val="auto"/>
          <w:sz w:val="32"/>
          <w:szCs w:val="32"/>
          <w:lang w:eastAsia="zh-CN"/>
        </w:rPr>
        <w:t>主要内容包括：县政府统计部门计划行政支出、布置更新各个行业的统计调查制度、加强统计工作改革和统计执法；保障基层统计部门日常业务工作的运行；保障国内生产总值核算、企业直报、能源及温室气体排放统计、全国城乡划分、服务业调查、旅游及相关产业增加值核算、社会消费品零售、工资及社会调查等小型调查项目的开展。用途是：搜集、整理、核算、发布农业、工业、能源、贸易、服务业及社会调查的统计数据，并分析研究相关产业的发展结构，监测、预测地方宏观经济运行</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根据生产的统计数据形成政策咨询建议，为地方政府决策提供统计依据，为党政机关提供参考依据。</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）项目资金细化分配情况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专项统计调查经费共20万元，其中印刷费支出0.77万元，培训费支出0.15万元，公务接待费支出0.2万元，劳务费支出18万元，公务用车运行维护费支出0.5万元。</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）项目政策依据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项目符合政府和本部门</w:t>
      </w:r>
      <w:r>
        <w:rPr>
          <w:rFonts w:hint="eastAsia" w:ascii="仿宋" w:hAnsi="仿宋" w:eastAsia="仿宋" w:cs="仿宋"/>
          <w:color w:val="auto"/>
          <w:sz w:val="32"/>
          <w:szCs w:val="32"/>
          <w:lang w:eastAsia="zh-CN"/>
        </w:rPr>
        <w:t>工作实际和预算安排</w:t>
      </w:r>
      <w:r>
        <w:rPr>
          <w:rFonts w:hint="eastAsia" w:ascii="仿宋" w:hAnsi="仿宋" w:eastAsia="仿宋" w:cs="仿宋"/>
          <w:color w:val="auto"/>
          <w:sz w:val="32"/>
          <w:szCs w:val="32"/>
        </w:rPr>
        <w:t>，符合中央、省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市、县政府有关政策。</w:t>
      </w:r>
    </w:p>
    <w:p>
      <w:pPr>
        <w:keepNext w:val="0"/>
        <w:keepLines w:val="0"/>
        <w:pageBreakBefore w:val="0"/>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宋体" w:hAnsi="宋体" w:eastAsia="宋体" w:cs="宋体"/>
          <w:color w:val="auto"/>
          <w:sz w:val="32"/>
          <w:szCs w:val="32"/>
        </w:rPr>
      </w:pPr>
      <w:r>
        <w:rPr>
          <w:rFonts w:hint="eastAsia" w:ascii="宋体" w:hAnsi="宋体" w:eastAsia="宋体" w:cs="宋体"/>
          <w:b/>
          <w:bCs/>
          <w:color w:val="auto"/>
          <w:sz w:val="32"/>
          <w:szCs w:val="32"/>
          <w:lang w:val="en-US" w:eastAsia="zh-CN"/>
        </w:rPr>
        <w:t>2</w:t>
      </w:r>
      <w:r>
        <w:rPr>
          <w:rFonts w:hint="eastAsia" w:ascii="宋体" w:hAnsi="宋体" w:eastAsia="宋体" w:cs="宋体"/>
          <w:b/>
          <w:bCs/>
          <w:color w:val="auto"/>
          <w:sz w:val="32"/>
          <w:szCs w:val="32"/>
        </w:rPr>
        <w:t>、项目绩效目标和绩效指标设定情况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专项统计调查经费预算20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按照相关支出标准，</w:t>
      </w:r>
      <w:r>
        <w:rPr>
          <w:rFonts w:hint="eastAsia" w:ascii="仿宋" w:hAnsi="仿宋" w:eastAsia="仿宋" w:cs="仿宋"/>
          <w:color w:val="auto"/>
          <w:sz w:val="32"/>
          <w:szCs w:val="32"/>
        </w:rPr>
        <w:t>实际支出</w:t>
      </w:r>
      <w:r>
        <w:rPr>
          <w:rFonts w:hint="eastAsia" w:ascii="仿宋" w:hAnsi="仿宋" w:eastAsia="仿宋" w:cs="仿宋"/>
          <w:color w:val="auto"/>
          <w:sz w:val="32"/>
          <w:szCs w:val="32"/>
          <w:lang w:val="en-US" w:eastAsia="zh-CN"/>
        </w:rPr>
        <w:t>19.62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该项目所有工作</w:t>
      </w:r>
      <w:r>
        <w:rPr>
          <w:rFonts w:hint="eastAsia" w:ascii="仿宋" w:hAnsi="仿宋" w:eastAsia="仿宋" w:cs="仿宋"/>
          <w:color w:val="auto"/>
          <w:sz w:val="32"/>
          <w:szCs w:val="32"/>
          <w:lang w:eastAsia="zh-CN"/>
        </w:rPr>
        <w:t>基本</w:t>
      </w:r>
      <w:r>
        <w:rPr>
          <w:rFonts w:hint="eastAsia" w:ascii="仿宋" w:hAnsi="仿宋" w:eastAsia="仿宋" w:cs="仿宋"/>
          <w:color w:val="auto"/>
          <w:sz w:val="32"/>
          <w:szCs w:val="32"/>
        </w:rPr>
        <w:t>按时完成。</w:t>
      </w:r>
      <w:r>
        <w:rPr>
          <w:rFonts w:hint="eastAsia" w:ascii="仿宋" w:hAnsi="仿宋" w:eastAsia="仿宋" w:cs="仿宋"/>
          <w:color w:val="auto"/>
          <w:sz w:val="32"/>
          <w:szCs w:val="32"/>
          <w:lang w:eastAsia="zh-CN"/>
        </w:rPr>
        <w:t>项目的</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基本达到了预期的效果，保障了基层统计部门日常业务工作的运行；保障了国内生产总值核算、企业直报、能源、城乡划分、服务业调查、文化及相关产业增加值核算、社会消费品零售、工资及社会调查等小型调查项目的开展。</w:t>
      </w:r>
      <w:r>
        <w:rPr>
          <w:rFonts w:hint="eastAsia" w:ascii="仿宋" w:hAnsi="仿宋" w:eastAsia="仿宋" w:cs="仿宋"/>
          <w:color w:val="auto"/>
          <w:kern w:val="0"/>
          <w:sz w:val="32"/>
          <w:szCs w:val="32"/>
          <w:lang w:val="en-US" w:eastAsia="zh-CN" w:bidi="ar"/>
        </w:rPr>
        <w:t>并按要求及时上报，各项指标顺利通过各级审核评估，数据质量稳步提升。</w:t>
      </w:r>
    </w:p>
    <w:p>
      <w:pPr>
        <w:pStyle w:val="11"/>
        <w:keepNext w:val="0"/>
        <w:keepLines w:val="0"/>
        <w:pageBreakBefore w:val="0"/>
        <w:widowControl/>
        <w:suppressLineNumbers w:val="0"/>
        <w:kinsoku/>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本年度</w:t>
      </w:r>
      <w:r>
        <w:rPr>
          <w:rFonts w:hint="eastAsia" w:ascii="仿宋" w:hAnsi="仿宋" w:eastAsia="仿宋" w:cs="仿宋"/>
          <w:color w:val="auto"/>
          <w:sz w:val="32"/>
          <w:szCs w:val="32"/>
          <w:highlight w:val="none"/>
        </w:rPr>
        <w:t>完成统计分析</w:t>
      </w:r>
      <w:r>
        <w:rPr>
          <w:rFonts w:hint="eastAsia" w:ascii="仿宋" w:hAnsi="仿宋" w:eastAsia="仿宋" w:cs="仿宋"/>
          <w:color w:val="auto"/>
          <w:sz w:val="32"/>
          <w:szCs w:val="32"/>
          <w:highlight w:val="none"/>
          <w:lang w:val="en-US" w:eastAsia="zh-CN"/>
        </w:rPr>
        <w:t>8篇，即《2018年1-4季度主要经济指标预警分析》《主要经济指标全面实现首季开门红》《一季度我县主要经济指标运行分析》《上半年主要经济指标完成情况分析》《地区生产总值预警分析》，完成并超出了预期目标，达到了预期的效果。</w:t>
      </w:r>
    </w:p>
    <w:p>
      <w:pPr>
        <w:keepNext w:val="0"/>
        <w:keepLines w:val="0"/>
        <w:pageBreakBefore w:val="0"/>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eastAsia="宋体" w:cs="宋体"/>
          <w:b/>
          <w:bCs/>
          <w:color w:val="auto"/>
          <w:sz w:val="32"/>
          <w:szCs w:val="32"/>
        </w:rPr>
        <w:t>、绩效评价指标实现情况</w:t>
      </w:r>
    </w:p>
    <w:p>
      <w:pPr>
        <w:keepNext w:val="0"/>
        <w:keepLines w:val="0"/>
        <w:pageBreakBefore w:val="0"/>
        <w:numPr>
          <w:ilvl w:val="0"/>
          <w:numId w:val="0"/>
        </w:numPr>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）项目组织与实施情况</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按上级统计制度要求开展各项工作，</w:t>
      </w:r>
      <w:r>
        <w:rPr>
          <w:rFonts w:hint="eastAsia" w:ascii="仿宋" w:hAnsi="仿宋" w:eastAsia="仿宋" w:cs="仿宋"/>
          <w:color w:val="auto"/>
          <w:sz w:val="32"/>
          <w:szCs w:val="32"/>
        </w:rPr>
        <w:t>一是完善了各专业的审核查询制度。在规定程序的基础上增设了同比、环比等外挂审核程序，对统计数据增速异常、相关指标之间匹配性、协调性差的作为重点检查地区和重点单位进行查询，发现差错及时纠正。二是完善与相关部门宏观指标的匹配性审核制度。利用部门相关指标评估</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县的</w:t>
      </w:r>
      <w:r>
        <w:rPr>
          <w:rFonts w:hint="eastAsia" w:ascii="仿宋" w:hAnsi="仿宋" w:eastAsia="仿宋" w:cs="仿宋"/>
          <w:color w:val="auto"/>
          <w:sz w:val="32"/>
          <w:szCs w:val="32"/>
          <w:lang w:val="en-US"/>
        </w:rPr>
        <w:t>GDP</w:t>
      </w:r>
      <w:r>
        <w:rPr>
          <w:rFonts w:hint="eastAsia" w:ascii="仿宋" w:hAnsi="仿宋" w:eastAsia="仿宋" w:cs="仿宋"/>
          <w:color w:val="auto"/>
          <w:sz w:val="32"/>
          <w:szCs w:val="32"/>
        </w:rPr>
        <w:t>、工业等数据质量，提高</w:t>
      </w:r>
      <w:r>
        <w:rPr>
          <w:rFonts w:hint="eastAsia" w:ascii="仿宋" w:hAnsi="仿宋" w:eastAsia="仿宋" w:cs="仿宋"/>
          <w:color w:val="auto"/>
          <w:sz w:val="32"/>
          <w:szCs w:val="32"/>
          <w:lang w:val="en-US"/>
        </w:rPr>
        <w:t>GDP</w:t>
      </w:r>
      <w:r>
        <w:rPr>
          <w:rFonts w:hint="eastAsia" w:ascii="仿宋" w:hAnsi="仿宋" w:eastAsia="仿宋" w:cs="仿宋"/>
          <w:color w:val="auto"/>
          <w:sz w:val="32"/>
          <w:szCs w:val="32"/>
        </w:rPr>
        <w:t>数据与部门统计数据的匹配性。</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是深入检查指导。坚持统计检查、指导和调研相结合，分管领导定期带领专业人员深入基层，对县局、企业进行检查和指导，提高基层统计工作水平。</w:t>
      </w:r>
    </w:p>
    <w:p>
      <w:pPr>
        <w:keepNext w:val="0"/>
        <w:keepLines w:val="0"/>
        <w:pageBreakBefore w:val="0"/>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）资金管理情况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年度项目经费支出安排计划经县统计局局长办公会讨论确定，经费使用严格按照《行政单位会计制度》和县统计局《财务管理制度》和其他相关规定执行。实行专款专用，加强对资金使用情况的管理和检查，杜绝挤占、截留、挪用现象发生，提高资金使用效益。</w:t>
      </w:r>
    </w:p>
    <w:p>
      <w:pPr>
        <w:keepNext w:val="0"/>
        <w:keepLines w:val="0"/>
        <w:pageBreakBefore w:val="0"/>
        <w:numPr>
          <w:ilvl w:val="0"/>
          <w:numId w:val="0"/>
        </w:numPr>
        <w:kinsoku/>
        <w:overflowPunct/>
        <w:topLinePunct w:val="0"/>
        <w:autoSpaceDE/>
        <w:autoSpaceDN/>
        <w:bidi w:val="0"/>
        <w:adjustRightInd/>
        <w:snapToGrid/>
        <w:spacing w:line="600" w:lineRule="exact"/>
        <w:ind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实施效果情况</w:t>
      </w:r>
    </w:p>
    <w:p>
      <w:pPr>
        <w:pStyle w:val="11"/>
        <w:keepNext w:val="0"/>
        <w:keepLines w:val="0"/>
        <w:pageBreakBefore w:val="0"/>
        <w:widowControl/>
        <w:suppressLineNumbers w:val="0"/>
        <w:kinsoku/>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根据国家、省</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各专业统计制度要求，完成各专业定报、年报等工作</w:t>
      </w:r>
      <w:r>
        <w:rPr>
          <w:rFonts w:hint="eastAsia" w:ascii="仿宋" w:hAnsi="仿宋" w:eastAsia="仿宋" w:cs="仿宋"/>
          <w:color w:val="auto"/>
          <w:sz w:val="32"/>
          <w:szCs w:val="32"/>
          <w:lang w:eastAsia="zh-CN"/>
        </w:rPr>
        <w:t>任务</w:t>
      </w:r>
      <w:r>
        <w:rPr>
          <w:rFonts w:hint="eastAsia" w:ascii="仿宋" w:hAnsi="仿宋" w:eastAsia="仿宋" w:cs="仿宋"/>
          <w:color w:val="auto"/>
          <w:sz w:val="32"/>
          <w:szCs w:val="32"/>
        </w:rPr>
        <w:t>。</w:t>
      </w:r>
      <w:r>
        <w:rPr>
          <w:rFonts w:hint="eastAsia" w:ascii="仿宋" w:hAnsi="仿宋" w:eastAsia="仿宋" w:cs="仿宋"/>
          <w:color w:val="auto"/>
          <w:sz w:val="32"/>
          <w:szCs w:val="32"/>
          <w:shd w:val="clear" w:color="auto" w:fill="FFFFFF"/>
        </w:rPr>
        <w:t>顺利完成了全年的工作任务，按照计划的资金预算实施。项目实现了预期产出，</w:t>
      </w:r>
      <w:r>
        <w:rPr>
          <w:rFonts w:hint="eastAsia" w:ascii="仿宋" w:hAnsi="仿宋" w:eastAsia="仿宋" w:cs="仿宋"/>
          <w:color w:val="auto"/>
          <w:sz w:val="32"/>
          <w:szCs w:val="32"/>
          <w:shd w:val="clear" w:color="auto" w:fill="FFFFFF"/>
          <w:lang w:eastAsia="zh-CN"/>
        </w:rPr>
        <w:t>统计</w:t>
      </w:r>
      <w:r>
        <w:rPr>
          <w:rFonts w:hint="eastAsia" w:ascii="仿宋" w:hAnsi="仿宋" w:eastAsia="仿宋" w:cs="仿宋"/>
          <w:color w:val="auto"/>
          <w:sz w:val="32"/>
          <w:szCs w:val="32"/>
          <w:shd w:val="clear" w:color="auto" w:fill="FFFFFF"/>
        </w:rPr>
        <w:t>调查所产生的数据、分析信息在</w:t>
      </w:r>
      <w:r>
        <w:rPr>
          <w:rFonts w:hint="eastAsia" w:ascii="仿宋" w:hAnsi="仿宋" w:eastAsia="仿宋" w:cs="仿宋"/>
          <w:color w:val="auto"/>
          <w:sz w:val="32"/>
          <w:szCs w:val="32"/>
          <w:shd w:val="clear" w:color="auto" w:fill="FFFFFF"/>
          <w:lang w:eastAsia="zh-CN"/>
        </w:rPr>
        <w:t>县</w:t>
      </w:r>
      <w:r>
        <w:rPr>
          <w:rFonts w:hint="eastAsia" w:ascii="仿宋" w:hAnsi="仿宋" w:eastAsia="仿宋" w:cs="仿宋"/>
          <w:color w:val="auto"/>
          <w:sz w:val="32"/>
          <w:szCs w:val="32"/>
          <w:shd w:val="clear" w:color="auto" w:fill="FFFFFF"/>
        </w:rPr>
        <w:t>委</w:t>
      </w:r>
      <w:r>
        <w:rPr>
          <w:rFonts w:hint="eastAsia" w:ascii="仿宋" w:hAnsi="仿宋" w:eastAsia="仿宋" w:cs="仿宋"/>
          <w:color w:val="auto"/>
          <w:sz w:val="32"/>
          <w:szCs w:val="32"/>
          <w:shd w:val="clear" w:color="auto" w:fill="FFFFFF"/>
          <w:lang w:eastAsia="zh-CN"/>
        </w:rPr>
        <w:t>县</w:t>
      </w:r>
      <w:r>
        <w:rPr>
          <w:rFonts w:hint="eastAsia" w:ascii="仿宋" w:hAnsi="仿宋" w:eastAsia="仿宋" w:cs="仿宋"/>
          <w:color w:val="auto"/>
          <w:sz w:val="32"/>
          <w:szCs w:val="32"/>
          <w:shd w:val="clear" w:color="auto" w:fill="FFFFFF"/>
        </w:rPr>
        <w:t>政府宏观决策中发挥了重要作用。</w:t>
      </w:r>
    </w:p>
    <w:p>
      <w:pPr>
        <w:keepNext w:val="0"/>
        <w:keepLines w:val="0"/>
        <w:pageBreakBefore w:val="0"/>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宋体" w:hAnsi="宋体" w:eastAsia="宋体" w:cs="宋体"/>
          <w:b/>
          <w:bCs/>
          <w:color w:val="auto"/>
          <w:sz w:val="32"/>
          <w:szCs w:val="32"/>
          <w:lang w:val="en-US" w:eastAsia="zh-CN"/>
        </w:rPr>
        <w:t>4</w:t>
      </w:r>
      <w:r>
        <w:rPr>
          <w:rFonts w:hint="eastAsia" w:ascii="宋体" w:hAnsi="宋体" w:eastAsia="宋体" w:cs="宋体"/>
          <w:b/>
          <w:bCs/>
          <w:color w:val="auto"/>
          <w:sz w:val="32"/>
          <w:szCs w:val="32"/>
        </w:rPr>
        <w:t>、项目实施绩效管理情况</w:t>
      </w:r>
    </w:p>
    <w:p>
      <w:pPr>
        <w:keepNext w:val="0"/>
        <w:keepLines w:val="0"/>
        <w:pageBreakBefore w:val="0"/>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）计划制定和落实情况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48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2018年该项目共到位资金20万元，实际支出19.62万元，没有超预算。各项统计业务管理活动成本皆不超计划，该项目预期工作目标基本完成。</w:t>
      </w:r>
    </w:p>
    <w:p>
      <w:pPr>
        <w:keepNext w:val="0"/>
        <w:keepLines w:val="0"/>
        <w:pageBreakBefore w:val="0"/>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）执行绩效监控情况</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专项统计调查经费应到位资金</w:t>
      </w:r>
      <w:r>
        <w:rPr>
          <w:rFonts w:hint="eastAsia" w:ascii="仿宋" w:hAnsi="仿宋" w:eastAsia="仿宋" w:cs="仿宋"/>
          <w:color w:val="auto"/>
          <w:sz w:val="32"/>
          <w:szCs w:val="32"/>
          <w:lang w:val="en-US" w:eastAsia="zh-CN"/>
        </w:rPr>
        <w:t>20万元，已到位资金20万元，实际支出19.62万元，支出率98.1%，</w:t>
      </w:r>
      <w:r>
        <w:rPr>
          <w:rFonts w:hint="eastAsia" w:ascii="仿宋" w:hAnsi="仿宋" w:eastAsia="仿宋" w:cs="仿宋"/>
          <w:color w:val="auto"/>
          <w:sz w:val="32"/>
          <w:szCs w:val="32"/>
        </w:rPr>
        <w:t>该项目所有工作</w:t>
      </w:r>
      <w:r>
        <w:rPr>
          <w:rFonts w:hint="eastAsia" w:ascii="仿宋" w:hAnsi="仿宋" w:eastAsia="仿宋" w:cs="仿宋"/>
          <w:color w:val="auto"/>
          <w:sz w:val="32"/>
          <w:szCs w:val="32"/>
          <w:lang w:eastAsia="zh-CN"/>
        </w:rPr>
        <w:t>基本</w:t>
      </w:r>
      <w:r>
        <w:rPr>
          <w:rFonts w:hint="eastAsia" w:ascii="仿宋" w:hAnsi="仿宋" w:eastAsia="仿宋" w:cs="仿宋"/>
          <w:color w:val="auto"/>
          <w:sz w:val="32"/>
          <w:szCs w:val="32"/>
        </w:rPr>
        <w:t>按时完成</w:t>
      </w:r>
      <w:r>
        <w:rPr>
          <w:rFonts w:hint="eastAsia" w:ascii="仿宋" w:hAnsi="仿宋" w:eastAsia="仿宋" w:cs="仿宋"/>
          <w:color w:val="auto"/>
          <w:sz w:val="32"/>
          <w:szCs w:val="32"/>
          <w:lang w:eastAsia="zh-CN"/>
        </w:rPr>
        <w:t>，项目的</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基本达到了预期的效果。</w:t>
      </w:r>
    </w:p>
    <w:p>
      <w:pPr>
        <w:keepNext w:val="0"/>
        <w:keepLines w:val="0"/>
        <w:pageBreakBefore w:val="0"/>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宋体" w:hAnsi="宋体" w:eastAsia="宋体" w:cs="宋体"/>
          <w:b/>
          <w:bCs/>
          <w:color w:val="auto"/>
          <w:sz w:val="32"/>
          <w:szCs w:val="32"/>
          <w:lang w:val="en-US" w:eastAsia="zh-CN"/>
        </w:rPr>
        <w:t>5</w:t>
      </w:r>
      <w:r>
        <w:rPr>
          <w:rFonts w:hint="eastAsia" w:ascii="宋体" w:hAnsi="宋体" w:eastAsia="宋体" w:cs="宋体"/>
          <w:b/>
          <w:bCs/>
          <w:color w:val="auto"/>
          <w:sz w:val="32"/>
          <w:szCs w:val="32"/>
        </w:rPr>
        <w:t>、项目绩效自评及评价结果</w:t>
      </w:r>
    </w:p>
    <w:p>
      <w:pPr>
        <w:keepNext w:val="0"/>
        <w:keepLines w:val="0"/>
        <w:pageBreakBefore w:val="0"/>
        <w:kinsoku/>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）项目自评开展情况</w:t>
      </w:r>
    </w:p>
    <w:p>
      <w:pPr>
        <w:keepNext w:val="0"/>
        <w:keepLines w:val="0"/>
        <w:pageBreakBefore w:val="0"/>
        <w:widowControl/>
        <w:suppressLineNumbers w:val="0"/>
        <w:tabs>
          <w:tab w:val="left" w:pos="878"/>
        </w:tabs>
        <w:kinsoku/>
        <w:wordWrap w:val="0"/>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项目决策：本项目决策依据符合年度工作计划，根据需要制定中长期实施规划；决策符合程序，并履行相应手续；资金分配因素全面合理，资金使用合理合规。</w:t>
      </w:r>
    </w:p>
    <w:p>
      <w:pPr>
        <w:keepNext w:val="0"/>
        <w:keepLines w:val="0"/>
        <w:pageBreakBefore w:val="0"/>
        <w:widowControl/>
        <w:suppressLineNumbers w:val="0"/>
        <w:tabs>
          <w:tab w:val="left" w:pos="878"/>
        </w:tabs>
        <w:kinsoku/>
        <w:wordWrap w:val="0"/>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项目管理：本项目管理制度健全，分工实施明确，管理资金到位，资金使用合理合规，不存在截留、挤占、挪用及超标准开支的情况，资金支出制度健全，会计核算规范。</w:t>
      </w:r>
    </w:p>
    <w:p>
      <w:pPr>
        <w:keepNext w:val="0"/>
        <w:keepLines w:val="0"/>
        <w:pageBreakBefore w:val="0"/>
        <w:widowControl/>
        <w:suppressLineNumbers w:val="0"/>
        <w:tabs>
          <w:tab w:val="left" w:pos="878"/>
        </w:tabs>
        <w:kinsoku/>
        <w:wordWrap w:val="0"/>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项目绩效：本项目无论从产出数量、产出质量、产出实效、产出成本上都基本达到绩效目标。从经济效益、社会效益、环境效益、影响效益、受众满意上都基本达到最佳效果。</w:t>
      </w:r>
    </w:p>
    <w:p>
      <w:pPr>
        <w:keepNext w:val="0"/>
        <w:keepLines w:val="0"/>
        <w:pageBreakBefore w:val="0"/>
        <w:numPr>
          <w:ilvl w:val="0"/>
          <w:numId w:val="0"/>
        </w:numPr>
        <w:kinsoku/>
        <w:overflowPunct/>
        <w:topLinePunct w:val="0"/>
        <w:autoSpaceDE/>
        <w:autoSpaceDN/>
        <w:bidi w:val="0"/>
        <w:adjustRightInd/>
        <w:snapToGrid/>
        <w:spacing w:line="600" w:lineRule="exact"/>
        <w:ind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评价结果</w:t>
      </w:r>
    </w:p>
    <w:p>
      <w:pPr>
        <w:pStyle w:val="11"/>
        <w:keepNext w:val="0"/>
        <w:keepLines w:val="0"/>
        <w:pageBreakBefore w:val="0"/>
        <w:widowControl/>
        <w:suppressLineNumbers w:val="0"/>
        <w:kinsoku/>
        <w:overflowPunct/>
        <w:topLinePunct w:val="0"/>
        <w:autoSpaceDE/>
        <w:autoSpaceDN/>
        <w:bidi w:val="0"/>
        <w:adjustRightInd/>
        <w:snapToGrid/>
        <w:spacing w:beforeAutospacing="0" w:afterAutospacing="0" w:line="600" w:lineRule="exact"/>
        <w:ind w:left="0" w:leftChars="0" w:right="0" w:rightChars="0" w:firstLine="56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统计业务</w:t>
      </w:r>
      <w:r>
        <w:rPr>
          <w:rFonts w:hint="eastAsia" w:ascii="仿宋" w:hAnsi="仿宋" w:eastAsia="仿宋" w:cs="仿宋"/>
          <w:color w:val="auto"/>
          <w:sz w:val="32"/>
          <w:szCs w:val="32"/>
        </w:rPr>
        <w:t>工作已如期完成，综合</w:t>
      </w:r>
      <w:r>
        <w:rPr>
          <w:rFonts w:hint="eastAsia" w:ascii="仿宋" w:hAnsi="仿宋" w:eastAsia="仿宋" w:cs="仿宋"/>
          <w:color w:val="auto"/>
          <w:sz w:val="32"/>
          <w:szCs w:val="32"/>
          <w:lang w:eastAsia="zh-CN"/>
        </w:rPr>
        <w:t>评价为良好</w:t>
      </w:r>
      <w:r>
        <w:rPr>
          <w:rFonts w:hint="eastAsia" w:ascii="仿宋" w:hAnsi="仿宋" w:eastAsia="仿宋" w:cs="仿宋"/>
          <w:color w:val="auto"/>
          <w:sz w:val="32"/>
          <w:szCs w:val="32"/>
        </w:rPr>
        <w:t>。</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绩效评价结果应用</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黑体" w:eastAsia="黑体" w:cs="Times New Roman"/>
          <w:b w:val="0"/>
          <w:bCs w:val="0"/>
        </w:rPr>
      </w:pPr>
      <w:r>
        <w:rPr>
          <w:rFonts w:hint="eastAsia" w:ascii="仿宋" w:hAnsi="仿宋" w:eastAsia="仿宋" w:cs="仿宋"/>
          <w:color w:val="auto"/>
          <w:sz w:val="32"/>
          <w:szCs w:val="32"/>
        </w:rPr>
        <w:t>经费及时到位，根据</w:t>
      </w:r>
      <w:r>
        <w:rPr>
          <w:rFonts w:hint="eastAsia" w:ascii="仿宋" w:hAnsi="仿宋" w:eastAsia="仿宋" w:cs="仿宋"/>
          <w:color w:val="auto"/>
          <w:sz w:val="32"/>
          <w:szCs w:val="32"/>
          <w:lang w:eastAsia="zh-CN"/>
        </w:rPr>
        <w:t>业务</w:t>
      </w:r>
      <w:r>
        <w:rPr>
          <w:rFonts w:hint="eastAsia" w:ascii="仿宋" w:hAnsi="仿宋" w:eastAsia="仿宋" w:cs="仿宋"/>
          <w:color w:val="auto"/>
          <w:sz w:val="32"/>
          <w:szCs w:val="32"/>
        </w:rPr>
        <w:t>需求规范使用且使用率高。资金按照</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要求分别投入</w:t>
      </w:r>
      <w:r>
        <w:rPr>
          <w:rFonts w:hint="eastAsia" w:ascii="仿宋" w:hAnsi="仿宋" w:eastAsia="仿宋" w:cs="仿宋"/>
          <w:color w:val="auto"/>
          <w:sz w:val="32"/>
          <w:szCs w:val="32"/>
          <w:lang w:eastAsia="zh-CN"/>
        </w:rPr>
        <w:t>到各专业</w:t>
      </w:r>
      <w:r>
        <w:rPr>
          <w:rFonts w:hint="eastAsia" w:ascii="仿宋" w:hAnsi="仿宋" w:eastAsia="仿宋" w:cs="仿宋"/>
          <w:color w:val="auto"/>
          <w:sz w:val="32"/>
          <w:szCs w:val="32"/>
        </w:rPr>
        <w:t>工作</w:t>
      </w:r>
      <w:r>
        <w:rPr>
          <w:rFonts w:hint="eastAsia" w:ascii="仿宋" w:hAnsi="仿宋" w:eastAsia="仿宋" w:cs="仿宋"/>
          <w:color w:val="auto"/>
          <w:sz w:val="32"/>
          <w:szCs w:val="32"/>
          <w:lang w:eastAsia="zh-CN"/>
        </w:rPr>
        <w:t>中</w:t>
      </w:r>
      <w:r>
        <w:rPr>
          <w:rFonts w:hint="eastAsia" w:ascii="仿宋" w:hAnsi="仿宋" w:eastAsia="仿宋" w:cs="仿宋"/>
          <w:color w:val="auto"/>
          <w:sz w:val="32"/>
          <w:szCs w:val="32"/>
        </w:rPr>
        <w:t>，</w:t>
      </w:r>
      <w:r>
        <w:rPr>
          <w:rFonts w:hint="eastAsia" w:ascii="仿宋" w:hAnsi="仿宋" w:eastAsia="仿宋" w:cs="仿宋"/>
          <w:color w:val="auto"/>
          <w:kern w:val="0"/>
          <w:sz w:val="32"/>
          <w:szCs w:val="32"/>
          <w:lang w:val="en-US" w:eastAsia="zh-CN" w:bidi="ar"/>
        </w:rPr>
        <w:t>能够顺利的开展工作，及时上报数据，数据质量稳步提升，同时</w:t>
      </w:r>
      <w:r>
        <w:rPr>
          <w:rFonts w:hint="eastAsia" w:ascii="仿宋" w:hAnsi="仿宋" w:eastAsia="仿宋" w:cs="仿宋"/>
          <w:color w:val="auto"/>
          <w:sz w:val="32"/>
          <w:szCs w:val="32"/>
          <w:shd w:val="clear" w:color="auto" w:fill="FFFFFF"/>
          <w:lang w:eastAsia="zh-CN"/>
        </w:rPr>
        <w:t>统计</w:t>
      </w:r>
      <w:r>
        <w:rPr>
          <w:rFonts w:hint="eastAsia" w:ascii="仿宋" w:hAnsi="仿宋" w:eastAsia="仿宋" w:cs="仿宋"/>
          <w:color w:val="auto"/>
          <w:sz w:val="32"/>
          <w:szCs w:val="32"/>
          <w:shd w:val="clear" w:color="auto" w:fill="FFFFFF"/>
        </w:rPr>
        <w:t>调查所产生的数据、分析信息在</w:t>
      </w:r>
      <w:r>
        <w:rPr>
          <w:rFonts w:hint="eastAsia" w:ascii="仿宋" w:hAnsi="仿宋" w:eastAsia="仿宋" w:cs="仿宋"/>
          <w:color w:val="auto"/>
          <w:sz w:val="32"/>
          <w:szCs w:val="32"/>
          <w:shd w:val="clear" w:color="auto" w:fill="FFFFFF"/>
          <w:lang w:eastAsia="zh-CN"/>
        </w:rPr>
        <w:t>县</w:t>
      </w:r>
      <w:r>
        <w:rPr>
          <w:rFonts w:hint="eastAsia" w:ascii="仿宋" w:hAnsi="仿宋" w:eastAsia="仿宋" w:cs="仿宋"/>
          <w:color w:val="auto"/>
          <w:sz w:val="32"/>
          <w:szCs w:val="32"/>
          <w:shd w:val="clear" w:color="auto" w:fill="FFFFFF"/>
        </w:rPr>
        <w:t>委</w:t>
      </w:r>
      <w:r>
        <w:rPr>
          <w:rFonts w:hint="eastAsia" w:ascii="仿宋" w:hAnsi="仿宋" w:eastAsia="仿宋" w:cs="仿宋"/>
          <w:color w:val="auto"/>
          <w:sz w:val="32"/>
          <w:szCs w:val="32"/>
          <w:shd w:val="clear" w:color="auto" w:fill="FFFFFF"/>
          <w:lang w:eastAsia="zh-CN"/>
        </w:rPr>
        <w:t>县</w:t>
      </w:r>
      <w:r>
        <w:rPr>
          <w:rFonts w:hint="eastAsia" w:ascii="仿宋" w:hAnsi="仿宋" w:eastAsia="仿宋" w:cs="仿宋"/>
          <w:color w:val="auto"/>
          <w:sz w:val="32"/>
          <w:szCs w:val="32"/>
          <w:shd w:val="clear" w:color="auto" w:fill="FFFFFF"/>
        </w:rPr>
        <w:t>政府宏观决策中发挥了重要作用。</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66.09</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0.25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0.38</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今年工作任务大，机关运行经费有所增加</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6.8</w:t>
      </w:r>
      <w:r>
        <w:rPr>
          <w:rFonts w:eastAsia="仿宋_GB2312"/>
          <w:sz w:val="32"/>
          <w:szCs w:val="32"/>
        </w:rPr>
        <w:t>万元，增长</w:t>
      </w:r>
      <w:r>
        <w:rPr>
          <w:rFonts w:hint="eastAsia" w:eastAsia="仿宋_GB2312"/>
          <w:sz w:val="32"/>
          <w:szCs w:val="32"/>
          <w:lang w:val="en-US" w:eastAsia="zh-CN"/>
        </w:rPr>
        <w:t>11.47</w:t>
      </w:r>
      <w:r>
        <w:rPr>
          <w:rFonts w:eastAsia="仿宋_GB2312"/>
          <w:sz w:val="32"/>
          <w:szCs w:val="32"/>
        </w:rPr>
        <w:t>%，主要是</w:t>
      </w:r>
      <w:r>
        <w:rPr>
          <w:rFonts w:hint="eastAsia" w:eastAsia="仿宋_GB2312"/>
          <w:sz w:val="32"/>
          <w:szCs w:val="32"/>
          <w:lang w:eastAsia="zh-CN"/>
        </w:rPr>
        <w:t>由于工作需要，</w:t>
      </w:r>
      <w:r>
        <w:rPr>
          <w:rFonts w:hint="eastAsia" w:eastAsia="仿宋_GB2312"/>
          <w:sz w:val="32"/>
          <w:szCs w:val="32"/>
          <w:lang w:val="en-US" w:eastAsia="zh-CN"/>
        </w:rPr>
        <w:t>固定资产购置、办公费、印刷费等均有大额支出。</w:t>
      </w:r>
    </w:p>
    <w:p>
      <w:pPr>
        <w:adjustRightInd w:val="0"/>
        <w:snapToGrid w:val="0"/>
        <w:spacing w:after="0" w:line="580" w:lineRule="exact"/>
        <w:ind w:firstLine="643" w:firstLineChars="200"/>
        <w:rPr>
          <w:rFonts w:eastAsia="仿宋_GB2312"/>
          <w:sz w:val="32"/>
          <w:szCs w:val="32"/>
        </w:rPr>
      </w:pPr>
      <w:r>
        <w:rPr>
          <w:rFonts w:hint="eastAsia" w:eastAsia="仿宋_GB2312"/>
          <w:b/>
          <w:bCs/>
          <w:sz w:val="32"/>
          <w:szCs w:val="32"/>
        </w:rPr>
        <w:t>（二）政府采购情况</w:t>
      </w:r>
    </w:p>
    <w:p>
      <w:pPr>
        <w:widowControl/>
        <w:spacing w:after="0" w:line="580" w:lineRule="exact"/>
        <w:ind w:firstLine="640" w:firstLineChars="200"/>
        <w:jc w:val="left"/>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numPr>
          <w:ilvl w:val="0"/>
          <w:numId w:val="0"/>
        </w:numPr>
        <w:adjustRightInd w:val="0"/>
        <w:snapToGrid w:val="0"/>
        <w:spacing w:line="584"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eastAsia="仿宋_GB2312"/>
          <w:sz w:val="32"/>
          <w:szCs w:val="32"/>
          <w:highlight w:val="none"/>
          <w:lang w:eastAsia="zh-CN"/>
        </w:rPr>
        <w:t>较</w:t>
      </w:r>
      <w:r>
        <w:rPr>
          <w:rFonts w:hint="eastAsia" w:eastAsia="仿宋_GB2312"/>
          <w:sz w:val="32"/>
          <w:szCs w:val="32"/>
          <w:highlight w:val="none"/>
          <w:lang w:val="en-US" w:eastAsia="zh-CN"/>
        </w:rPr>
        <w:t>2017年度决</w:t>
      </w:r>
      <w:r>
        <w:rPr>
          <w:rFonts w:hint="eastAsia" w:eastAsia="仿宋_GB2312"/>
          <w:sz w:val="32"/>
          <w:szCs w:val="32"/>
          <w:lang w:val="en-US" w:eastAsia="zh-CN"/>
        </w:rPr>
        <w:t>算无增减变化，</w:t>
      </w:r>
      <w:r>
        <w:rPr>
          <w:rFonts w:hint="eastAsia" w:ascii="仿宋_GB2312" w:eastAsia="仿宋_GB2312" w:cs="DengXian-Regular"/>
          <w:sz w:val="32"/>
          <w:szCs w:val="32"/>
          <w:lang w:eastAsia="zh-CN"/>
        </w:rPr>
        <w:t>为</w:t>
      </w:r>
      <w:r>
        <w:rPr>
          <w:rFonts w:hint="eastAsia" w:ascii="仿宋_GB2312" w:eastAsia="仿宋_GB2312" w:cs="DengXian-Regular"/>
          <w:sz w:val="32"/>
          <w:szCs w:val="32"/>
        </w:rPr>
        <w:t>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eastAsia="仿宋_GB2312"/>
          <w:sz w:val="32"/>
          <w:szCs w:val="32"/>
          <w:highlight w:val="none"/>
          <w:lang w:eastAsia="zh-CN"/>
        </w:rPr>
        <w:t>较</w:t>
      </w:r>
      <w:r>
        <w:rPr>
          <w:rFonts w:hint="eastAsia" w:eastAsia="仿宋_GB2312"/>
          <w:sz w:val="32"/>
          <w:szCs w:val="32"/>
          <w:highlight w:val="none"/>
          <w:lang w:val="en-US" w:eastAsia="zh-CN"/>
        </w:rPr>
        <w:t>2017年度决</w:t>
      </w:r>
      <w:r>
        <w:rPr>
          <w:rFonts w:hint="eastAsia" w:eastAsia="仿宋_GB2312"/>
          <w:sz w:val="32"/>
          <w:szCs w:val="32"/>
          <w:lang w:val="en-US" w:eastAsia="zh-CN"/>
        </w:rPr>
        <w:t>算无增减变化；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eastAsia="仿宋_GB2312"/>
          <w:sz w:val="32"/>
          <w:szCs w:val="32"/>
          <w:highlight w:val="none"/>
          <w:lang w:eastAsia="zh-CN"/>
        </w:rPr>
        <w:t>较</w:t>
      </w:r>
      <w:r>
        <w:rPr>
          <w:rFonts w:hint="eastAsia" w:eastAsia="仿宋_GB2312"/>
          <w:sz w:val="32"/>
          <w:szCs w:val="32"/>
          <w:highlight w:val="none"/>
          <w:lang w:val="en-US" w:eastAsia="zh-CN"/>
        </w:rPr>
        <w:t>2017年度决</w:t>
      </w:r>
      <w:r>
        <w:rPr>
          <w:rFonts w:hint="eastAsia" w:eastAsia="仿宋_GB2312"/>
          <w:sz w:val="32"/>
          <w:szCs w:val="32"/>
          <w:lang w:val="en-US" w:eastAsia="zh-CN"/>
        </w:rPr>
        <w:t>算无增减变化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tabs>
          <w:tab w:val="left" w:pos="11490"/>
        </w:tabs>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eastAsia="zh-CN"/>
        </w:rPr>
        <w:t>本部门</w:t>
      </w:r>
      <w:r>
        <w:rPr>
          <w:rFonts w:hint="eastAsia" w:ascii="仿宋" w:hAnsi="仿宋" w:eastAsia="仿宋" w:cs="仿宋"/>
          <w:b w:val="0"/>
          <w:bCs/>
          <w:sz w:val="32"/>
          <w:szCs w:val="32"/>
          <w:lang w:val="en-US" w:eastAsia="zh-CN"/>
        </w:rPr>
        <w:t>2018年度政府采购、政府性基金预算财政拨款和国有资本经营预算财政拨款无收支及结转结余情况，故政府采购情况表、政府性基金预算财政拨款收入支出决算表和国有资本经营预算财政拨款支出决算表以空表列示。</w:t>
      </w:r>
    </w:p>
    <w:p>
      <w:pPr>
        <w:adjustRightInd w:val="0"/>
        <w:snapToGrid w:val="0"/>
        <w:spacing w:after="0" w:line="58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2、由于决算公开表格中金额数值应当保留两位小数，公开数据为四舍五入计算结果，个别数据合计项与分项之和存在小数点后差额，特此说明。</w:t>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5DB604E-0182-4568-AAA5-5326EC973F87}"/>
  </w:font>
  <w:font w:name="黑体">
    <w:panose1 w:val="02010609060101010101"/>
    <w:charset w:val="86"/>
    <w:family w:val="auto"/>
    <w:pitch w:val="default"/>
    <w:sig w:usb0="800002BF" w:usb1="38CF7CFA" w:usb2="00000016" w:usb3="00000000" w:csb0="00040001" w:csb1="00000000"/>
    <w:embedRegular r:id="rId2" w:fontKey="{5780F667-44C6-4F63-9F3A-4990AB24252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E47DE0A9-CC85-4967-A6D3-87A4B663F7E6}"/>
  </w:font>
  <w:font w:name="楷体">
    <w:panose1 w:val="02010609060101010101"/>
    <w:charset w:val="86"/>
    <w:family w:val="modern"/>
    <w:pitch w:val="default"/>
    <w:sig w:usb0="800002BF" w:usb1="38CF7CFA" w:usb2="00000016" w:usb3="00000000" w:csb0="00040001" w:csb1="00000000"/>
    <w:embedRegular r:id="rId4" w:fontKey="{A048463B-3C94-449F-872A-DD0322CA5161}"/>
  </w:font>
  <w:font w:name="仿宋_GB2312">
    <w:panose1 w:val="02010609030101010101"/>
    <w:charset w:val="86"/>
    <w:family w:val="modern"/>
    <w:pitch w:val="default"/>
    <w:sig w:usb0="00000001" w:usb1="080E0000" w:usb2="00000000" w:usb3="00000000" w:csb0="00040000" w:csb1="00000000"/>
    <w:embedRegular r:id="rId5" w:fontKey="{E9CDD1F3-B79C-49B3-9690-95AFE43484EF}"/>
  </w:font>
  <w:font w:name="ArialUnicodeMS">
    <w:altName w:val="Malgun Gothic"/>
    <w:panose1 w:val="00000000000000000000"/>
    <w:charset w:val="81"/>
    <w:family w:val="auto"/>
    <w:pitch w:val="default"/>
    <w:sig w:usb0="00000000" w:usb1="00000000" w:usb2="00000010" w:usb3="00000000" w:csb0="00080001" w:csb1="00000000"/>
    <w:embedRegular r:id="rId6" w:fontKey="{71E48FC4-62A4-4FA6-8F32-2814E9B0C420}"/>
  </w:font>
  <w:font w:name="MS-UIGothic,Bold">
    <w:altName w:val="Malgun Gothic"/>
    <w:panose1 w:val="00000000000000000000"/>
    <w:charset w:val="81"/>
    <w:family w:val="auto"/>
    <w:pitch w:val="default"/>
    <w:sig w:usb0="00000000" w:usb1="00000000" w:usb2="00000010" w:usb3="00000000" w:csb0="00080000" w:csb1="00000000"/>
    <w:embedRegular r:id="rId7" w:fontKey="{556CC773-D167-44AE-B7C7-6885BFBCABC2}"/>
  </w:font>
  <w:font w:name="DengXian-Regular">
    <w:altName w:val="宋体"/>
    <w:panose1 w:val="00000000000000000000"/>
    <w:charset w:val="86"/>
    <w:family w:val="auto"/>
    <w:pitch w:val="default"/>
    <w:sig w:usb0="00000000" w:usb1="00000000" w:usb2="00000010" w:usb3="00000000" w:csb0="00040001" w:csb1="00000000"/>
    <w:embedRegular r:id="rId8" w:fontKey="{8D50976F-54B6-45C2-B803-FC95978F65FB}"/>
  </w:font>
  <w:font w:name="仿宋">
    <w:panose1 w:val="02010609060101010101"/>
    <w:charset w:val="86"/>
    <w:family w:val="modern"/>
    <w:pitch w:val="default"/>
    <w:sig w:usb0="800002BF" w:usb1="38CF7CFA" w:usb2="00000016" w:usb3="00000000" w:csb0="00040001" w:csb1="00000000"/>
    <w:embedRegular r:id="rId9" w:fontKey="{49139F6F-B13A-46BC-B2CA-C5825100848B}"/>
  </w:font>
  <w:font w:name="楷体_GB2312">
    <w:panose1 w:val="02010609030101010101"/>
    <w:charset w:val="86"/>
    <w:family w:val="modern"/>
    <w:pitch w:val="default"/>
    <w:sig w:usb0="00000001" w:usb1="080E0000" w:usb2="00000000" w:usb3="00000000" w:csb0="00040000" w:csb1="00000000"/>
    <w:embedRegular r:id="rId10" w:fontKey="{4DB11D96-5DD8-427D-B0FF-78CBFA28C614}"/>
  </w:font>
  <w:font w:name="DengXian-Bold">
    <w:altName w:val="宋体"/>
    <w:panose1 w:val="00000000000000000000"/>
    <w:charset w:val="86"/>
    <w:family w:val="auto"/>
    <w:pitch w:val="default"/>
    <w:sig w:usb0="00000000" w:usb1="00000000" w:usb2="00000010" w:usb3="00000000" w:csb0="00040001" w:csb1="00000000"/>
    <w:embedRegular r:id="rId11" w:fontKey="{BC38E4DB-035D-4F7C-91E4-46A2FB267124}"/>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0FE304"/>
    <w:multiLevelType w:val="singleLevel"/>
    <w:tmpl w:val="F70FE304"/>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21625"/>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85AE3"/>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B5E9A"/>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4787074"/>
    <w:rsid w:val="04952059"/>
    <w:rsid w:val="04AC45D7"/>
    <w:rsid w:val="05287FED"/>
    <w:rsid w:val="05B22042"/>
    <w:rsid w:val="088D608B"/>
    <w:rsid w:val="09187E09"/>
    <w:rsid w:val="092B17C9"/>
    <w:rsid w:val="094562AF"/>
    <w:rsid w:val="0A1A20D9"/>
    <w:rsid w:val="0B0B4EEA"/>
    <w:rsid w:val="0B225040"/>
    <w:rsid w:val="0B400385"/>
    <w:rsid w:val="0B60750A"/>
    <w:rsid w:val="0B7254E4"/>
    <w:rsid w:val="0B885E3F"/>
    <w:rsid w:val="0BC61BDF"/>
    <w:rsid w:val="0DB7676B"/>
    <w:rsid w:val="0E11161C"/>
    <w:rsid w:val="0E7B1ED6"/>
    <w:rsid w:val="0EB46F9C"/>
    <w:rsid w:val="0ECC247C"/>
    <w:rsid w:val="0F8A26ED"/>
    <w:rsid w:val="0FD01A1E"/>
    <w:rsid w:val="0FE26E2C"/>
    <w:rsid w:val="10686488"/>
    <w:rsid w:val="10DF728A"/>
    <w:rsid w:val="10F11FD3"/>
    <w:rsid w:val="11BA1BBF"/>
    <w:rsid w:val="120C3A5F"/>
    <w:rsid w:val="125E1996"/>
    <w:rsid w:val="1264200E"/>
    <w:rsid w:val="12C31400"/>
    <w:rsid w:val="13486AD0"/>
    <w:rsid w:val="137A7D14"/>
    <w:rsid w:val="13D65F3C"/>
    <w:rsid w:val="141C5B77"/>
    <w:rsid w:val="144F4EF5"/>
    <w:rsid w:val="14C806BC"/>
    <w:rsid w:val="158900A3"/>
    <w:rsid w:val="166114FD"/>
    <w:rsid w:val="16A37D9C"/>
    <w:rsid w:val="172D6375"/>
    <w:rsid w:val="17D64BCE"/>
    <w:rsid w:val="17E51A1F"/>
    <w:rsid w:val="183C3669"/>
    <w:rsid w:val="186660B1"/>
    <w:rsid w:val="18D8339D"/>
    <w:rsid w:val="1A21388F"/>
    <w:rsid w:val="1A570D2F"/>
    <w:rsid w:val="1B9C51D3"/>
    <w:rsid w:val="1C1B5A21"/>
    <w:rsid w:val="1CC15E0C"/>
    <w:rsid w:val="1CFF458E"/>
    <w:rsid w:val="1E974D27"/>
    <w:rsid w:val="1EE70D3C"/>
    <w:rsid w:val="1F5D3D9F"/>
    <w:rsid w:val="1FAA20E8"/>
    <w:rsid w:val="20A05AD7"/>
    <w:rsid w:val="20BF168E"/>
    <w:rsid w:val="21722A38"/>
    <w:rsid w:val="21730C9B"/>
    <w:rsid w:val="21FD2BE8"/>
    <w:rsid w:val="221214DB"/>
    <w:rsid w:val="22D41190"/>
    <w:rsid w:val="22E77C27"/>
    <w:rsid w:val="23E83127"/>
    <w:rsid w:val="242B0A1F"/>
    <w:rsid w:val="24E23C94"/>
    <w:rsid w:val="256B387C"/>
    <w:rsid w:val="275A59B5"/>
    <w:rsid w:val="280D0E77"/>
    <w:rsid w:val="281A1455"/>
    <w:rsid w:val="283F7102"/>
    <w:rsid w:val="28FB0B8D"/>
    <w:rsid w:val="29393FE3"/>
    <w:rsid w:val="29564C1F"/>
    <w:rsid w:val="2A1A7291"/>
    <w:rsid w:val="2BF87B58"/>
    <w:rsid w:val="2C28174E"/>
    <w:rsid w:val="2C476314"/>
    <w:rsid w:val="2D0526D7"/>
    <w:rsid w:val="2D2B7942"/>
    <w:rsid w:val="2D2F3655"/>
    <w:rsid w:val="2D46481D"/>
    <w:rsid w:val="2D913AB0"/>
    <w:rsid w:val="2E733B28"/>
    <w:rsid w:val="2E86434E"/>
    <w:rsid w:val="2EC00482"/>
    <w:rsid w:val="2FE05389"/>
    <w:rsid w:val="2FFC518B"/>
    <w:rsid w:val="31852B5A"/>
    <w:rsid w:val="31995EBC"/>
    <w:rsid w:val="323D0C77"/>
    <w:rsid w:val="32751A5E"/>
    <w:rsid w:val="32D01238"/>
    <w:rsid w:val="344165F2"/>
    <w:rsid w:val="34501EE8"/>
    <w:rsid w:val="348B1DD6"/>
    <w:rsid w:val="366B3A82"/>
    <w:rsid w:val="36806068"/>
    <w:rsid w:val="36F30FA3"/>
    <w:rsid w:val="37A53380"/>
    <w:rsid w:val="37C64AD9"/>
    <w:rsid w:val="389166FB"/>
    <w:rsid w:val="38F460E7"/>
    <w:rsid w:val="3A1A7816"/>
    <w:rsid w:val="3AA46695"/>
    <w:rsid w:val="3B903361"/>
    <w:rsid w:val="3B9C5BC1"/>
    <w:rsid w:val="3C47440D"/>
    <w:rsid w:val="3CF802AC"/>
    <w:rsid w:val="3DFC59A8"/>
    <w:rsid w:val="3E867CAC"/>
    <w:rsid w:val="3EBC69E8"/>
    <w:rsid w:val="3ECF245E"/>
    <w:rsid w:val="3EF27406"/>
    <w:rsid w:val="3F6B54DB"/>
    <w:rsid w:val="3FA840E6"/>
    <w:rsid w:val="3FB96314"/>
    <w:rsid w:val="40253819"/>
    <w:rsid w:val="40DC69FE"/>
    <w:rsid w:val="413E736F"/>
    <w:rsid w:val="41F14114"/>
    <w:rsid w:val="426A6D94"/>
    <w:rsid w:val="435C22ED"/>
    <w:rsid w:val="450A07F6"/>
    <w:rsid w:val="451E2EA2"/>
    <w:rsid w:val="457E7058"/>
    <w:rsid w:val="46316E9A"/>
    <w:rsid w:val="474229FB"/>
    <w:rsid w:val="48060694"/>
    <w:rsid w:val="48127449"/>
    <w:rsid w:val="48B740C9"/>
    <w:rsid w:val="49415E33"/>
    <w:rsid w:val="4A8D6983"/>
    <w:rsid w:val="4BBB66A8"/>
    <w:rsid w:val="4C9D4CDE"/>
    <w:rsid w:val="4CC40A7A"/>
    <w:rsid w:val="4CCE742C"/>
    <w:rsid w:val="4DD26A4E"/>
    <w:rsid w:val="4ED006F9"/>
    <w:rsid w:val="4EF20B84"/>
    <w:rsid w:val="504779C4"/>
    <w:rsid w:val="51401AD1"/>
    <w:rsid w:val="52C171AB"/>
    <w:rsid w:val="53297B57"/>
    <w:rsid w:val="53A44FAF"/>
    <w:rsid w:val="540F0B6B"/>
    <w:rsid w:val="546C17C5"/>
    <w:rsid w:val="54AF38C8"/>
    <w:rsid w:val="55593790"/>
    <w:rsid w:val="56294BFE"/>
    <w:rsid w:val="5643694D"/>
    <w:rsid w:val="575E3F49"/>
    <w:rsid w:val="57A62B14"/>
    <w:rsid w:val="57B42509"/>
    <w:rsid w:val="57C5176E"/>
    <w:rsid w:val="58333C5C"/>
    <w:rsid w:val="5921256A"/>
    <w:rsid w:val="594329EC"/>
    <w:rsid w:val="5956734D"/>
    <w:rsid w:val="59CE47F0"/>
    <w:rsid w:val="5A2340F7"/>
    <w:rsid w:val="5A536A65"/>
    <w:rsid w:val="5BEE1540"/>
    <w:rsid w:val="5D7D72CC"/>
    <w:rsid w:val="5DBC1829"/>
    <w:rsid w:val="5DE56589"/>
    <w:rsid w:val="5DE61A5D"/>
    <w:rsid w:val="5EA31D16"/>
    <w:rsid w:val="5F59456B"/>
    <w:rsid w:val="5F9F6270"/>
    <w:rsid w:val="5FAC3D4B"/>
    <w:rsid w:val="5FBE3201"/>
    <w:rsid w:val="60222E03"/>
    <w:rsid w:val="603D4938"/>
    <w:rsid w:val="60ED7A04"/>
    <w:rsid w:val="61183BD0"/>
    <w:rsid w:val="62047931"/>
    <w:rsid w:val="622E5ACD"/>
    <w:rsid w:val="627D534B"/>
    <w:rsid w:val="63C04243"/>
    <w:rsid w:val="649C01C7"/>
    <w:rsid w:val="652F630A"/>
    <w:rsid w:val="66000A81"/>
    <w:rsid w:val="66572793"/>
    <w:rsid w:val="6686442B"/>
    <w:rsid w:val="66C632D8"/>
    <w:rsid w:val="677011E0"/>
    <w:rsid w:val="678045CC"/>
    <w:rsid w:val="682B49F1"/>
    <w:rsid w:val="682E2A28"/>
    <w:rsid w:val="68BF79E5"/>
    <w:rsid w:val="69334F76"/>
    <w:rsid w:val="69897970"/>
    <w:rsid w:val="699A3F60"/>
    <w:rsid w:val="69CD79DA"/>
    <w:rsid w:val="69CF1555"/>
    <w:rsid w:val="69F52AF2"/>
    <w:rsid w:val="6A4C2F9A"/>
    <w:rsid w:val="6AA96D39"/>
    <w:rsid w:val="6B4A0C95"/>
    <w:rsid w:val="6BE71F46"/>
    <w:rsid w:val="6C1325F2"/>
    <w:rsid w:val="6F10111D"/>
    <w:rsid w:val="6F63360D"/>
    <w:rsid w:val="70D5503D"/>
    <w:rsid w:val="71BC6642"/>
    <w:rsid w:val="72081FF1"/>
    <w:rsid w:val="7255123F"/>
    <w:rsid w:val="7276541A"/>
    <w:rsid w:val="72902E62"/>
    <w:rsid w:val="733A62C3"/>
    <w:rsid w:val="734C161F"/>
    <w:rsid w:val="73C61104"/>
    <w:rsid w:val="73CE16C6"/>
    <w:rsid w:val="74A8217F"/>
    <w:rsid w:val="74A8338D"/>
    <w:rsid w:val="7616243C"/>
    <w:rsid w:val="76E4187F"/>
    <w:rsid w:val="77136A28"/>
    <w:rsid w:val="776452EA"/>
    <w:rsid w:val="778011CE"/>
    <w:rsid w:val="77A22067"/>
    <w:rsid w:val="783E7E03"/>
    <w:rsid w:val="79F40349"/>
    <w:rsid w:val="79FC7F14"/>
    <w:rsid w:val="7AD15E0A"/>
    <w:rsid w:val="7AF5515D"/>
    <w:rsid w:val="7B89795D"/>
    <w:rsid w:val="7BC4211E"/>
    <w:rsid w:val="7BDD785D"/>
    <w:rsid w:val="7C575C9C"/>
    <w:rsid w:val="7C5E389F"/>
    <w:rsid w:val="7CDF2E55"/>
    <w:rsid w:val="7D446816"/>
    <w:rsid w:val="7DC663B9"/>
    <w:rsid w:val="7EE72874"/>
    <w:rsid w:val="7F130383"/>
    <w:rsid w:val="7F13424A"/>
    <w:rsid w:val="7FD21032"/>
    <w:rsid w:val="7FFA3E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7"/>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6"/>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explosion val="23"/>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[Book1]Sheet1!$E$4:$E$5</c:f>
              <c:strCache>
                <c:ptCount val="2"/>
                <c:pt idx="0">
                  <c:v> 财政拨款收入</c:v>
                </c:pt>
                <c:pt idx="1">
                  <c:v>其他收入</c:v>
                </c:pt>
              </c:strCache>
            </c:strRef>
          </c:cat>
          <c:val>
            <c:numRef>
              <c:f>[Book1]Sheet1!$F$4:$F$5</c:f>
              <c:numCache>
                <c:formatCode>0.00%</c:formatCode>
                <c:ptCount val="2"/>
                <c:pt idx="0">
                  <c:v>0.9995</c:v>
                </c:pt>
                <c:pt idx="1">
                  <c:v>0.0005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[Book1]Sheet1!$E$4:$E$5</c:f>
              <c:strCache>
                <c:ptCount val="2"/>
                <c:pt idx="0">
                  <c:v>基本支出</c:v>
                </c:pt>
                <c:pt idx="1">
                  <c:v>项目支出</c:v>
                </c:pt>
              </c:strCache>
            </c:strRef>
          </c:cat>
          <c:val>
            <c:numRef>
              <c:f>[Book1]Sheet1!$F$4:$F$5</c:f>
              <c:numCache>
                <c:formatCode>0.00%</c:formatCode>
                <c:ptCount val="2"/>
                <c:pt idx="0">
                  <c:v>0.9164</c:v>
                </c:pt>
                <c:pt idx="1">
                  <c:v>0.0836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[Book1]Sheet1!$B$7</c:f>
              <c:strCache>
                <c:ptCount val="1"/>
                <c:pt idx="0">
                  <c:v>2018</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[Book1]Sheet1!$C$6:$D$6</c:f>
              <c:strCache>
                <c:ptCount val="2"/>
                <c:pt idx="0">
                  <c:v>收入</c:v>
                </c:pt>
                <c:pt idx="1">
                  <c:v>支出</c:v>
                </c:pt>
              </c:strCache>
            </c:strRef>
          </c:cat>
          <c:val>
            <c:numRef>
              <c:f>[Book1]Sheet1!$C$7:$D$7</c:f>
              <c:numCache>
                <c:formatCode>General</c:formatCode>
                <c:ptCount val="2"/>
                <c:pt idx="0">
                  <c:v>581.07</c:v>
                </c:pt>
                <c:pt idx="1">
                  <c:v>579.23</c:v>
                </c:pt>
              </c:numCache>
            </c:numRef>
          </c:val>
        </c:ser>
        <c:ser>
          <c:idx val="1"/>
          <c:order val="1"/>
          <c:tx>
            <c:strRef>
              <c:f>[Book1]Sheet1!$B$8</c:f>
              <c:strCache>
                <c:ptCount val="1"/>
                <c:pt idx="0">
                  <c:v>2017</c:v>
                </c:pt>
              </c:strCache>
            </c:strRef>
          </c:tx>
          <c:spPr>
            <a:solidFill>
              <a:schemeClr val="accent2">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[Book1]Sheet1!$C$6:$D$6</c:f>
              <c:strCache>
                <c:ptCount val="2"/>
                <c:pt idx="0">
                  <c:v>收入</c:v>
                </c:pt>
                <c:pt idx="1">
                  <c:v>支出</c:v>
                </c:pt>
              </c:strCache>
            </c:strRef>
          </c:cat>
          <c:val>
            <c:numRef>
              <c:f>[Book1]Sheet1!$C$8:$D$8</c:f>
              <c:numCache>
                <c:formatCode>General</c:formatCode>
                <c:ptCount val="2"/>
                <c:pt idx="0">
                  <c:v>551.37</c:v>
                </c:pt>
                <c:pt idx="1">
                  <c:v>556.46</c:v>
                </c:pt>
              </c:numCache>
            </c:numRef>
          </c:val>
        </c:ser>
        <c:dLbls>
          <c:showLegendKey val="0"/>
          <c:showVal val="1"/>
          <c:showCatName val="0"/>
          <c:showSerName val="0"/>
          <c:showPercent val="0"/>
          <c:showBubbleSize val="0"/>
        </c:dLbls>
        <c:gapWidth val="219"/>
        <c:overlap val="-27"/>
        <c:axId val="226900557"/>
        <c:axId val="924224986"/>
      </c:barChart>
      <c:catAx>
        <c:axId val="2269005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224986"/>
        <c:crosses val="autoZero"/>
        <c:auto val="1"/>
        <c:lblAlgn val="ctr"/>
        <c:lblOffset val="100"/>
        <c:noMultiLvlLbl val="0"/>
      </c:catAx>
      <c:valAx>
        <c:axId val="9242249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9005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[Book1]Sheet1!$B$7</c:f>
              <c:strCache>
                <c:ptCount val="1"/>
                <c:pt idx="0">
                  <c:v>决算</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[Book1]Sheet1!$C$6:$D$6</c:f>
              <c:strCache>
                <c:ptCount val="2"/>
                <c:pt idx="0">
                  <c:v>收入</c:v>
                </c:pt>
                <c:pt idx="1">
                  <c:v>支出</c:v>
                </c:pt>
              </c:strCache>
            </c:strRef>
          </c:cat>
          <c:val>
            <c:numRef>
              <c:f>[Book1]Sheet1!$C$7:$D$7</c:f>
              <c:numCache>
                <c:formatCode>General</c:formatCode>
                <c:ptCount val="2"/>
                <c:pt idx="0">
                  <c:v>581.07</c:v>
                </c:pt>
                <c:pt idx="1">
                  <c:v>579.23</c:v>
                </c:pt>
              </c:numCache>
            </c:numRef>
          </c:val>
        </c:ser>
        <c:ser>
          <c:idx val="1"/>
          <c:order val="1"/>
          <c:tx>
            <c:strRef>
              <c:f>[Book1]Sheet1!$B$8</c:f>
              <c:strCache>
                <c:ptCount val="1"/>
                <c:pt idx="0">
                  <c:v>预算</c:v>
                </c:pt>
              </c:strCache>
            </c:strRef>
          </c:tx>
          <c:spPr>
            <a:solidFill>
              <a:schemeClr val="accent2">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[Book1]Sheet1!$C$6:$D$6</c:f>
              <c:strCache>
                <c:ptCount val="2"/>
                <c:pt idx="0">
                  <c:v>收入</c:v>
                </c:pt>
                <c:pt idx="1">
                  <c:v>支出</c:v>
                </c:pt>
              </c:strCache>
            </c:strRef>
          </c:cat>
          <c:val>
            <c:numRef>
              <c:f>[Book1]Sheet1!$C$8:$D$8</c:f>
              <c:numCache>
                <c:formatCode>General</c:formatCode>
                <c:ptCount val="2"/>
                <c:pt idx="0">
                  <c:v>581.07</c:v>
                </c:pt>
                <c:pt idx="1">
                  <c:v>581.07</c:v>
                </c:pt>
              </c:numCache>
            </c:numRef>
          </c:val>
        </c:ser>
        <c:dLbls>
          <c:showLegendKey val="0"/>
          <c:showVal val="1"/>
          <c:showCatName val="0"/>
          <c:showSerName val="0"/>
          <c:showPercent val="0"/>
          <c:showBubbleSize val="0"/>
        </c:dLbls>
        <c:gapWidth val="219"/>
        <c:overlap val="-27"/>
        <c:axId val="226900557"/>
        <c:axId val="924224986"/>
      </c:barChart>
      <c:catAx>
        <c:axId val="2269005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224986"/>
        <c:crosses val="autoZero"/>
        <c:auto val="1"/>
        <c:lblAlgn val="ctr"/>
        <c:lblOffset val="100"/>
        <c:noMultiLvlLbl val="0"/>
      </c:catAx>
      <c:valAx>
        <c:axId val="9242249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9005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3">
                  <a:tint val="100000"/>
                  <a:shade val="100000"/>
                  <a:hueMod val="100000"/>
                  <a:satMod val="100000"/>
                </a:schemeClr>
              </a:solidFill>
              <a:ln w="19050">
                <a:solidFill>
                  <a:schemeClr val="lt1"/>
                </a:solidFill>
              </a:ln>
              <a:effectLst/>
            </c:spPr>
          </c:dPt>
          <c:dPt>
            <c:idx val="2"/>
            <c:bubble3D val="0"/>
            <c:explosion val="0"/>
            <c:spPr>
              <a:solidFill>
                <a:schemeClr val="accent5">
                  <a:tint val="100000"/>
                  <a:shade val="100000"/>
                  <a:hueMod val="100000"/>
                  <a:satMod val="100000"/>
                </a:schemeClr>
              </a:solidFill>
              <a:ln w="19050">
                <a:solidFill>
                  <a:schemeClr val="lt1"/>
                </a:solidFill>
              </a:ln>
              <a:effectLst/>
            </c:spPr>
          </c:dPt>
          <c:dPt>
            <c:idx val="3"/>
            <c:bubble3D val="0"/>
            <c:spPr>
              <a:solidFill>
                <a:schemeClr val="accent1">
                  <a:lumMod val="60000"/>
                  <a:tint val="100000"/>
                  <a:shade val="100000"/>
                  <a:hueMod val="100000"/>
                  <a:satMod val="100000"/>
                </a:schemeClr>
              </a:solidFill>
              <a:ln w="19050">
                <a:solidFill>
                  <a:schemeClr val="lt1"/>
                </a:solidFill>
              </a:ln>
              <a:effectLst/>
            </c:spPr>
          </c:dPt>
          <c:dLbls>
            <c:dLbl>
              <c:idx val="1"/>
              <c:layout>
                <c:manualLayout>
                  <c:x val="0.0654763318376299"/>
                  <c:y val="0.1257076950860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114942339885754"/>
                  <c:y val="0.11410911421689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[Book1]Sheet1!$C$3:$C$6</c:f>
              <c:strCache>
                <c:ptCount val="4"/>
                <c:pt idx="0">
                  <c:v>一般公共服务类</c:v>
                </c:pt>
                <c:pt idx="1">
                  <c:v>社会保障和就业（类）</c:v>
                </c:pt>
                <c:pt idx="2">
                  <c:v>医疗卫生与计划生育（类）</c:v>
                </c:pt>
                <c:pt idx="3">
                  <c:v>住房保障（类）</c:v>
                </c:pt>
              </c:strCache>
            </c:strRef>
          </c:cat>
          <c:val>
            <c:numRef>
              <c:f>[Book1]Sheet1!$D$3:$D$6</c:f>
              <c:numCache>
                <c:formatCode>0.00%</c:formatCode>
                <c:ptCount val="4"/>
                <c:pt idx="0">
                  <c:v>0.8511</c:v>
                </c:pt>
                <c:pt idx="1">
                  <c:v>0.0761</c:v>
                </c:pt>
                <c:pt idx="2">
                  <c:v>0.0272</c:v>
                </c:pt>
                <c:pt idx="3">
                  <c:v>0.0456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0</TotalTime>
  <ScaleCrop>false</ScaleCrop>
  <LinksUpToDate>false</LinksUpToDate>
  <CharactersWithSpaces>11081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舍得</cp:lastModifiedBy>
  <cp:lastPrinted>2019-11-15T05:52:00Z</cp:lastPrinted>
  <dcterms:modified xsi:type="dcterms:W3CDTF">2021-05-26T03:11:56Z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